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3FDF" w14:textId="77777777" w:rsidR="002D12E5" w:rsidRPr="00E5586D" w:rsidRDefault="00141944" w:rsidP="002D12E5">
      <w:pPr>
        <w:autoSpaceDE w:val="0"/>
        <w:autoSpaceDN w:val="0"/>
        <w:adjustRightInd w:val="0"/>
        <w:rPr>
          <w:rFonts w:ascii="Calibri" w:hAnsi="Calibri" w:cs="Arial"/>
          <w:b/>
        </w:rPr>
      </w:pPr>
      <w:bookmarkStart w:id="0" w:name="_GoBack"/>
      <w:bookmarkEnd w:id="0"/>
      <w:r>
        <w:rPr>
          <w:noProof/>
          <w:lang w:eastAsia="en-GB"/>
        </w:rPr>
        <w:drawing>
          <wp:anchor distT="0" distB="0" distL="114300" distR="114300" simplePos="0" relativeHeight="251665408" behindDoc="0" locked="0" layoutInCell="1" allowOverlap="1" wp14:anchorId="7C45C06E" wp14:editId="1AF43460">
            <wp:simplePos x="0" y="0"/>
            <wp:positionH relativeFrom="column">
              <wp:posOffset>3840480</wp:posOffset>
            </wp:positionH>
            <wp:positionV relativeFrom="paragraph">
              <wp:posOffset>-159385</wp:posOffset>
            </wp:positionV>
            <wp:extent cx="2186940" cy="69786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LE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940"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589F675" wp14:editId="38C0A718">
            <wp:simplePos x="0" y="0"/>
            <wp:positionH relativeFrom="column">
              <wp:posOffset>3369945</wp:posOffset>
            </wp:positionH>
            <wp:positionV relativeFrom="paragraph">
              <wp:posOffset>-488250</wp:posOffset>
            </wp:positionV>
            <wp:extent cx="2646627" cy="2952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NCC-logos-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627" cy="295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1D70D39" wp14:editId="422324D0">
            <wp:simplePos x="0" y="0"/>
            <wp:positionH relativeFrom="column">
              <wp:posOffset>-295275</wp:posOffset>
            </wp:positionH>
            <wp:positionV relativeFrom="paragraph">
              <wp:posOffset>-513715</wp:posOffset>
            </wp:positionV>
            <wp:extent cx="2952773" cy="65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D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73"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94828FC" wp14:editId="40593B31">
            <wp:simplePos x="0" y="0"/>
            <wp:positionH relativeFrom="column">
              <wp:posOffset>-371475</wp:posOffset>
            </wp:positionH>
            <wp:positionV relativeFrom="paragraph">
              <wp:posOffset>228600</wp:posOffset>
            </wp:positionV>
            <wp:extent cx="2857524"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ttery Blac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24" cy="771525"/>
                    </a:xfrm>
                    <a:prstGeom prst="rect">
                      <a:avLst/>
                    </a:prstGeom>
                  </pic:spPr>
                </pic:pic>
              </a:graphicData>
            </a:graphic>
            <wp14:sizeRelH relativeFrom="page">
              <wp14:pctWidth>0</wp14:pctWidth>
            </wp14:sizeRelH>
            <wp14:sizeRelV relativeFrom="page">
              <wp14:pctHeight>0</wp14:pctHeight>
            </wp14:sizeRelV>
          </wp:anchor>
        </w:drawing>
      </w:r>
    </w:p>
    <w:p w14:paraId="2F064646" w14:textId="77777777" w:rsidR="002D12E5" w:rsidRPr="00E5586D" w:rsidRDefault="002D12E5" w:rsidP="002D12E5">
      <w:pPr>
        <w:autoSpaceDE w:val="0"/>
        <w:autoSpaceDN w:val="0"/>
        <w:adjustRightInd w:val="0"/>
        <w:jc w:val="center"/>
        <w:rPr>
          <w:rFonts w:ascii="Calibri" w:hAnsi="Calibri" w:cs="Arial"/>
          <w:b/>
        </w:rPr>
      </w:pPr>
    </w:p>
    <w:p w14:paraId="1EC2B35D" w14:textId="77777777" w:rsidR="002D12E5" w:rsidRDefault="002D12E5" w:rsidP="002D12E5">
      <w:pPr>
        <w:autoSpaceDE w:val="0"/>
        <w:autoSpaceDN w:val="0"/>
        <w:adjustRightInd w:val="0"/>
        <w:jc w:val="center"/>
        <w:rPr>
          <w:rFonts w:ascii="Calibri" w:hAnsi="Calibri" w:cs="Arial"/>
          <w:b/>
          <w:noProof/>
          <w:sz w:val="24"/>
          <w:szCs w:val="24"/>
          <w:lang w:eastAsia="en-GB"/>
        </w:rPr>
      </w:pPr>
    </w:p>
    <w:p w14:paraId="2E67B8A6" w14:textId="77777777" w:rsidR="002D12E5" w:rsidRDefault="002D12E5" w:rsidP="002D12E5">
      <w:pPr>
        <w:autoSpaceDE w:val="0"/>
        <w:autoSpaceDN w:val="0"/>
        <w:adjustRightInd w:val="0"/>
        <w:jc w:val="center"/>
        <w:rPr>
          <w:rFonts w:ascii="Calibri" w:hAnsi="Calibri" w:cs="Arial"/>
          <w:b/>
          <w:sz w:val="24"/>
          <w:szCs w:val="24"/>
        </w:rPr>
      </w:pPr>
    </w:p>
    <w:p w14:paraId="5C23852E" w14:textId="77777777" w:rsidR="002D12E5" w:rsidRDefault="002D12E5" w:rsidP="002D12E5">
      <w:pPr>
        <w:autoSpaceDE w:val="0"/>
        <w:autoSpaceDN w:val="0"/>
        <w:adjustRightInd w:val="0"/>
        <w:jc w:val="center"/>
        <w:rPr>
          <w:rFonts w:ascii="Calibri" w:hAnsi="Calibri" w:cs="Arial"/>
          <w:b/>
          <w:sz w:val="24"/>
          <w:szCs w:val="24"/>
        </w:rPr>
      </w:pPr>
    </w:p>
    <w:p w14:paraId="59B91D7C" w14:textId="03CC7AC7" w:rsidR="009970EF" w:rsidRDefault="009970EF" w:rsidP="002C7088">
      <w:pPr>
        <w:autoSpaceDE w:val="0"/>
        <w:autoSpaceDN w:val="0"/>
        <w:adjustRightInd w:val="0"/>
        <w:jc w:val="center"/>
        <w:rPr>
          <w:rFonts w:ascii="Calibri" w:hAnsi="Calibri" w:cs="Arial"/>
          <w:b/>
          <w:sz w:val="28"/>
          <w:szCs w:val="28"/>
        </w:rPr>
      </w:pPr>
    </w:p>
    <w:p w14:paraId="2DAD0DD7" w14:textId="568ED538" w:rsidR="009970EF" w:rsidRDefault="00D26910" w:rsidP="002C7088">
      <w:pPr>
        <w:autoSpaceDE w:val="0"/>
        <w:autoSpaceDN w:val="0"/>
        <w:adjustRightInd w:val="0"/>
        <w:jc w:val="center"/>
        <w:rPr>
          <w:rFonts w:ascii="Calibri" w:hAnsi="Calibri" w:cs="Arial"/>
          <w:b/>
          <w:sz w:val="28"/>
          <w:szCs w:val="28"/>
        </w:rPr>
      </w:pPr>
      <w:r>
        <w:rPr>
          <w:rFonts w:ascii="Calibri" w:hAnsi="Calibri" w:cs="Arial"/>
          <w:b/>
          <w:noProof/>
          <w:sz w:val="28"/>
          <w:szCs w:val="28"/>
          <w:lang w:eastAsia="en-GB"/>
        </w:rPr>
        <w:drawing>
          <wp:anchor distT="0" distB="0" distL="114300" distR="114300" simplePos="0" relativeHeight="251678720" behindDoc="0" locked="0" layoutInCell="1" allowOverlap="1" wp14:anchorId="4BFC96AE" wp14:editId="1C2B9504">
            <wp:simplePos x="0" y="0"/>
            <wp:positionH relativeFrom="column">
              <wp:posOffset>437515</wp:posOffset>
            </wp:positionH>
            <wp:positionV relativeFrom="paragraph">
              <wp:posOffset>86360</wp:posOffset>
            </wp:positionV>
            <wp:extent cx="5017135" cy="5791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tEast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7135" cy="579199"/>
                    </a:xfrm>
                    <a:prstGeom prst="rect">
                      <a:avLst/>
                    </a:prstGeom>
                  </pic:spPr>
                </pic:pic>
              </a:graphicData>
            </a:graphic>
            <wp14:sizeRelH relativeFrom="page">
              <wp14:pctWidth>0</wp14:pctWidth>
            </wp14:sizeRelH>
            <wp14:sizeRelV relativeFrom="page">
              <wp14:pctHeight>0</wp14:pctHeight>
            </wp14:sizeRelV>
          </wp:anchor>
        </w:drawing>
      </w:r>
    </w:p>
    <w:p w14:paraId="62F8CB3E" w14:textId="77777777" w:rsidR="009970EF" w:rsidRDefault="009970EF" w:rsidP="002C7088">
      <w:pPr>
        <w:autoSpaceDE w:val="0"/>
        <w:autoSpaceDN w:val="0"/>
        <w:adjustRightInd w:val="0"/>
        <w:jc w:val="center"/>
        <w:rPr>
          <w:rFonts w:ascii="Calibri" w:hAnsi="Calibri" w:cs="Arial"/>
          <w:b/>
          <w:sz w:val="28"/>
          <w:szCs w:val="28"/>
        </w:rPr>
      </w:pPr>
    </w:p>
    <w:p w14:paraId="7D99F711" w14:textId="77777777" w:rsidR="009970EF" w:rsidRDefault="009970EF" w:rsidP="002C7088">
      <w:pPr>
        <w:autoSpaceDE w:val="0"/>
        <w:autoSpaceDN w:val="0"/>
        <w:adjustRightInd w:val="0"/>
        <w:jc w:val="center"/>
        <w:rPr>
          <w:rFonts w:ascii="Calibri" w:hAnsi="Calibri" w:cs="Arial"/>
          <w:b/>
          <w:sz w:val="28"/>
          <w:szCs w:val="28"/>
        </w:rPr>
      </w:pPr>
    </w:p>
    <w:p w14:paraId="16A83672" w14:textId="77777777" w:rsidR="009970EF" w:rsidRDefault="009970EF" w:rsidP="002C7088">
      <w:pPr>
        <w:autoSpaceDE w:val="0"/>
        <w:autoSpaceDN w:val="0"/>
        <w:adjustRightInd w:val="0"/>
        <w:jc w:val="center"/>
        <w:rPr>
          <w:rFonts w:ascii="Calibri" w:hAnsi="Calibri" w:cs="Arial"/>
          <w:b/>
          <w:sz w:val="28"/>
          <w:szCs w:val="28"/>
        </w:rPr>
      </w:pPr>
    </w:p>
    <w:p w14:paraId="4E3D8336" w14:textId="77777777" w:rsidR="002C7088" w:rsidRPr="009970EF" w:rsidRDefault="002D12E5" w:rsidP="002C7088">
      <w:pPr>
        <w:autoSpaceDE w:val="0"/>
        <w:autoSpaceDN w:val="0"/>
        <w:adjustRightInd w:val="0"/>
        <w:jc w:val="center"/>
        <w:rPr>
          <w:rFonts w:cs="Arial"/>
          <w:b/>
          <w:sz w:val="24"/>
          <w:szCs w:val="24"/>
        </w:rPr>
      </w:pPr>
      <w:r w:rsidRPr="009970EF">
        <w:rPr>
          <w:rFonts w:cs="Arial"/>
          <w:b/>
          <w:sz w:val="24"/>
          <w:szCs w:val="24"/>
        </w:rPr>
        <w:t>S</w:t>
      </w:r>
      <w:r w:rsidR="005A3B81" w:rsidRPr="009970EF">
        <w:rPr>
          <w:rFonts w:cs="Arial"/>
          <w:b/>
          <w:sz w:val="24"/>
          <w:szCs w:val="24"/>
        </w:rPr>
        <w:t>tartEast</w:t>
      </w:r>
      <w:r w:rsidR="00E72254" w:rsidRPr="009970EF">
        <w:rPr>
          <w:rFonts w:cs="Arial"/>
          <w:b/>
          <w:sz w:val="24"/>
          <w:szCs w:val="24"/>
        </w:rPr>
        <w:t xml:space="preserve"> </w:t>
      </w:r>
      <w:r w:rsidRPr="009970EF">
        <w:rPr>
          <w:rFonts w:cs="Arial"/>
          <w:b/>
          <w:sz w:val="24"/>
          <w:szCs w:val="24"/>
        </w:rPr>
        <w:t>Grants Scheme:</w:t>
      </w:r>
      <w:r w:rsidR="00E72254" w:rsidRPr="009970EF">
        <w:rPr>
          <w:rFonts w:cs="Arial"/>
          <w:b/>
          <w:sz w:val="24"/>
          <w:szCs w:val="24"/>
        </w:rPr>
        <w:t xml:space="preserve"> </w:t>
      </w:r>
      <w:r w:rsidR="005E4361" w:rsidRPr="009970EF">
        <w:rPr>
          <w:rFonts w:cs="Arial"/>
          <w:b/>
          <w:sz w:val="24"/>
          <w:szCs w:val="24"/>
        </w:rPr>
        <w:t xml:space="preserve">Introduction and </w:t>
      </w:r>
      <w:r w:rsidR="002C7088" w:rsidRPr="009970EF">
        <w:rPr>
          <w:rFonts w:cs="Arial"/>
          <w:b/>
          <w:sz w:val="24"/>
          <w:szCs w:val="24"/>
        </w:rPr>
        <w:t>Eligibility Criteria</w:t>
      </w:r>
    </w:p>
    <w:p w14:paraId="28DF999E" w14:textId="77777777" w:rsidR="00E72254" w:rsidRPr="009970EF" w:rsidRDefault="00E72254" w:rsidP="002C7088">
      <w:pPr>
        <w:autoSpaceDE w:val="0"/>
        <w:autoSpaceDN w:val="0"/>
        <w:adjustRightInd w:val="0"/>
        <w:jc w:val="center"/>
        <w:rPr>
          <w:rFonts w:cs="Arial"/>
          <w:b/>
          <w:sz w:val="24"/>
          <w:szCs w:val="24"/>
        </w:rPr>
      </w:pPr>
    </w:p>
    <w:p w14:paraId="25150490" w14:textId="77777777" w:rsidR="002C7088" w:rsidRPr="009970EF" w:rsidRDefault="005E4361" w:rsidP="002C7088">
      <w:pPr>
        <w:pStyle w:val="ListParagraph"/>
        <w:numPr>
          <w:ilvl w:val="0"/>
          <w:numId w:val="4"/>
        </w:numPr>
        <w:autoSpaceDE w:val="0"/>
        <w:autoSpaceDN w:val="0"/>
        <w:adjustRightInd w:val="0"/>
        <w:rPr>
          <w:rFonts w:ascii="Arial" w:hAnsi="Arial" w:cs="Arial"/>
          <w:b/>
        </w:rPr>
      </w:pPr>
      <w:r w:rsidRPr="009970EF">
        <w:rPr>
          <w:rFonts w:ascii="Arial" w:hAnsi="Arial" w:cs="Arial"/>
          <w:b/>
        </w:rPr>
        <w:t xml:space="preserve">Introduction </w:t>
      </w:r>
    </w:p>
    <w:p w14:paraId="325CCAB3" w14:textId="77777777" w:rsidR="00E72254" w:rsidRPr="009970EF" w:rsidRDefault="00E72254" w:rsidP="002C7088">
      <w:pPr>
        <w:autoSpaceDE w:val="0"/>
        <w:autoSpaceDN w:val="0"/>
        <w:adjustRightInd w:val="0"/>
        <w:rPr>
          <w:rFonts w:cs="Arial"/>
          <w:sz w:val="24"/>
          <w:szCs w:val="24"/>
        </w:rPr>
      </w:pPr>
    </w:p>
    <w:p w14:paraId="2CD90C52" w14:textId="77777777" w:rsidR="002C7088" w:rsidRPr="009970EF" w:rsidRDefault="00101709" w:rsidP="002C7088">
      <w:pPr>
        <w:autoSpaceDE w:val="0"/>
        <w:autoSpaceDN w:val="0"/>
        <w:adjustRightInd w:val="0"/>
        <w:rPr>
          <w:rFonts w:cs="Arial"/>
          <w:sz w:val="24"/>
          <w:szCs w:val="24"/>
        </w:rPr>
      </w:pPr>
      <w:r w:rsidRPr="009970EF">
        <w:rPr>
          <w:rFonts w:cs="Arial"/>
          <w:sz w:val="24"/>
          <w:szCs w:val="24"/>
        </w:rPr>
        <w:t xml:space="preserve">StartEast </w:t>
      </w:r>
      <w:r w:rsidR="002C7088" w:rsidRPr="009970EF">
        <w:rPr>
          <w:rFonts w:cs="Arial"/>
          <w:sz w:val="24"/>
          <w:szCs w:val="24"/>
        </w:rPr>
        <w:t>has been set up to deliver targeted</w:t>
      </w:r>
      <w:r w:rsidR="00947D9D">
        <w:rPr>
          <w:rFonts w:cs="Arial"/>
          <w:sz w:val="24"/>
          <w:szCs w:val="24"/>
        </w:rPr>
        <w:t>, specialist business support for</w:t>
      </w:r>
      <w:r w:rsidR="002C7088" w:rsidRPr="009970EF">
        <w:rPr>
          <w:rFonts w:cs="Arial"/>
          <w:sz w:val="24"/>
          <w:szCs w:val="24"/>
        </w:rPr>
        <w:t xml:space="preserve"> </w:t>
      </w:r>
      <w:r w:rsidR="00127641">
        <w:rPr>
          <w:rFonts w:cs="Arial"/>
          <w:sz w:val="24"/>
          <w:szCs w:val="24"/>
        </w:rPr>
        <w:t>small to medium enterprises (</w:t>
      </w:r>
      <w:r w:rsidR="002C7088" w:rsidRPr="009970EF">
        <w:rPr>
          <w:rFonts w:cs="Arial"/>
          <w:sz w:val="24"/>
          <w:szCs w:val="24"/>
        </w:rPr>
        <w:t>SMEs</w:t>
      </w:r>
      <w:r w:rsidR="00127641">
        <w:rPr>
          <w:rFonts w:cs="Arial"/>
          <w:sz w:val="24"/>
          <w:szCs w:val="24"/>
        </w:rPr>
        <w:t>)</w:t>
      </w:r>
      <w:r w:rsidR="002C7088" w:rsidRPr="009970EF">
        <w:rPr>
          <w:rFonts w:cs="Arial"/>
          <w:sz w:val="24"/>
          <w:szCs w:val="24"/>
        </w:rPr>
        <w:t xml:space="preserve"> and start-ups in the cultural sector (</w:t>
      </w:r>
      <w:r w:rsidR="00B40E72">
        <w:rPr>
          <w:rFonts w:cs="Arial"/>
          <w:sz w:val="24"/>
          <w:szCs w:val="24"/>
        </w:rPr>
        <w:t xml:space="preserve">including </w:t>
      </w:r>
      <w:r w:rsidR="002C7088" w:rsidRPr="009970EF">
        <w:rPr>
          <w:rFonts w:cs="Arial"/>
          <w:sz w:val="24"/>
          <w:szCs w:val="24"/>
        </w:rPr>
        <w:t xml:space="preserve">music, theatre, </w:t>
      </w:r>
      <w:r w:rsidR="00BF68D3">
        <w:rPr>
          <w:rFonts w:cs="Arial"/>
          <w:sz w:val="24"/>
          <w:szCs w:val="24"/>
        </w:rPr>
        <w:t xml:space="preserve">and </w:t>
      </w:r>
      <w:r w:rsidR="002C7088" w:rsidRPr="009970EF">
        <w:rPr>
          <w:rFonts w:cs="Arial"/>
          <w:sz w:val="24"/>
          <w:szCs w:val="24"/>
        </w:rPr>
        <w:t>literature) in Norfolk and Suffolk. It is funded by Arts Council England and the European Regional Development Fund</w:t>
      </w:r>
      <w:r w:rsidR="00880376">
        <w:rPr>
          <w:rFonts w:cs="Arial"/>
          <w:sz w:val="24"/>
          <w:szCs w:val="24"/>
        </w:rPr>
        <w:t>,</w:t>
      </w:r>
      <w:r w:rsidR="002C7088" w:rsidRPr="009970EF">
        <w:rPr>
          <w:rFonts w:cs="Arial"/>
          <w:sz w:val="24"/>
          <w:szCs w:val="24"/>
        </w:rPr>
        <w:t xml:space="preserve"> and led by the New Wolsey Theatre on behalf of the New Anglia </w:t>
      </w:r>
      <w:r w:rsidR="005A3B81" w:rsidRPr="009970EF">
        <w:rPr>
          <w:rFonts w:cs="Arial"/>
          <w:sz w:val="24"/>
          <w:szCs w:val="24"/>
        </w:rPr>
        <w:t xml:space="preserve">Local Enterprise Partnership </w:t>
      </w:r>
      <w:r w:rsidR="002C7088" w:rsidRPr="009970EF">
        <w:rPr>
          <w:rFonts w:cs="Arial"/>
          <w:sz w:val="24"/>
          <w:szCs w:val="24"/>
        </w:rPr>
        <w:t>Cultural Board</w:t>
      </w:r>
      <w:r w:rsidR="0022288B">
        <w:rPr>
          <w:rFonts w:cs="Arial"/>
          <w:sz w:val="24"/>
          <w:szCs w:val="24"/>
        </w:rPr>
        <w:t xml:space="preserve"> in partnership with Norfolk County Council and Suffolk County Council</w:t>
      </w:r>
      <w:r w:rsidR="002C7088" w:rsidRPr="009970EF">
        <w:rPr>
          <w:rFonts w:cs="Arial"/>
          <w:sz w:val="24"/>
          <w:szCs w:val="24"/>
        </w:rPr>
        <w:t xml:space="preserve">. The </w:t>
      </w:r>
      <w:r w:rsidR="0022288B">
        <w:rPr>
          <w:rFonts w:cs="Arial"/>
          <w:sz w:val="24"/>
          <w:szCs w:val="24"/>
        </w:rPr>
        <w:t xml:space="preserve">StartEast Grants </w:t>
      </w:r>
      <w:r w:rsidR="002C7088" w:rsidRPr="009970EF">
        <w:rPr>
          <w:rFonts w:cs="Arial"/>
          <w:sz w:val="24"/>
          <w:szCs w:val="24"/>
        </w:rPr>
        <w:t>Scheme is administered and monitored by Norfolk County Council.</w:t>
      </w:r>
    </w:p>
    <w:p w14:paraId="1DBA70B8" w14:textId="77777777" w:rsidR="002C7088" w:rsidRPr="009970EF" w:rsidRDefault="002C7088" w:rsidP="002C7088">
      <w:pPr>
        <w:autoSpaceDE w:val="0"/>
        <w:autoSpaceDN w:val="0"/>
        <w:adjustRightInd w:val="0"/>
        <w:rPr>
          <w:rFonts w:cs="Arial"/>
          <w:sz w:val="24"/>
          <w:szCs w:val="24"/>
        </w:rPr>
      </w:pPr>
    </w:p>
    <w:p w14:paraId="14830EE6" w14:textId="77777777" w:rsidR="002C7088" w:rsidRPr="009970EF" w:rsidRDefault="00101709" w:rsidP="002C7088">
      <w:pPr>
        <w:autoSpaceDE w:val="0"/>
        <w:autoSpaceDN w:val="0"/>
        <w:adjustRightInd w:val="0"/>
        <w:rPr>
          <w:rFonts w:cs="Arial"/>
          <w:sz w:val="24"/>
          <w:szCs w:val="24"/>
        </w:rPr>
      </w:pPr>
      <w:r w:rsidRPr="009970EF">
        <w:rPr>
          <w:rFonts w:cs="Arial"/>
          <w:sz w:val="24"/>
          <w:szCs w:val="24"/>
        </w:rPr>
        <w:t>StartEast</w:t>
      </w:r>
      <w:r w:rsidR="00E72254" w:rsidRPr="009970EF">
        <w:rPr>
          <w:rFonts w:cs="Arial"/>
          <w:sz w:val="24"/>
          <w:szCs w:val="24"/>
        </w:rPr>
        <w:t xml:space="preserve"> </w:t>
      </w:r>
      <w:r w:rsidR="002C7088" w:rsidRPr="009970EF">
        <w:rPr>
          <w:rFonts w:cs="Arial"/>
          <w:sz w:val="24"/>
          <w:szCs w:val="24"/>
        </w:rPr>
        <w:t>aims</w:t>
      </w:r>
      <w:r w:rsidR="00FF17CF" w:rsidRPr="009970EF">
        <w:rPr>
          <w:rFonts w:cs="Arial"/>
          <w:sz w:val="24"/>
          <w:szCs w:val="24"/>
        </w:rPr>
        <w:t xml:space="preserve"> to:</w:t>
      </w:r>
    </w:p>
    <w:p w14:paraId="02DF4F0C" w14:textId="77777777" w:rsidR="00CC1BC6" w:rsidRPr="009970EF" w:rsidRDefault="00CC1BC6" w:rsidP="002C7088">
      <w:pPr>
        <w:autoSpaceDE w:val="0"/>
        <w:autoSpaceDN w:val="0"/>
        <w:adjustRightInd w:val="0"/>
        <w:rPr>
          <w:rFonts w:cs="Arial"/>
          <w:sz w:val="24"/>
          <w:szCs w:val="24"/>
        </w:rPr>
      </w:pPr>
    </w:p>
    <w:p w14:paraId="4BE82965" w14:textId="77777777" w:rsidR="002C7088" w:rsidRPr="009970EF" w:rsidRDefault="002C7088" w:rsidP="002C7088">
      <w:pPr>
        <w:pStyle w:val="ListParagraph"/>
        <w:numPr>
          <w:ilvl w:val="0"/>
          <w:numId w:val="5"/>
        </w:numPr>
        <w:autoSpaceDE w:val="0"/>
        <w:autoSpaceDN w:val="0"/>
        <w:adjustRightInd w:val="0"/>
        <w:rPr>
          <w:rFonts w:ascii="Arial" w:hAnsi="Arial" w:cs="Arial"/>
        </w:rPr>
      </w:pPr>
      <w:r w:rsidRPr="009970EF">
        <w:rPr>
          <w:rFonts w:ascii="Arial" w:hAnsi="Arial" w:cs="Arial"/>
        </w:rPr>
        <w:t>Increase the number of start-ups and early stage survival rates of cultural businesses;</w:t>
      </w:r>
    </w:p>
    <w:p w14:paraId="2488DDB7" w14:textId="77777777" w:rsidR="002C7088" w:rsidRPr="009970EF" w:rsidRDefault="002C7088" w:rsidP="002C7088">
      <w:pPr>
        <w:pStyle w:val="ListParagraph"/>
        <w:numPr>
          <w:ilvl w:val="0"/>
          <w:numId w:val="5"/>
        </w:numPr>
        <w:autoSpaceDE w:val="0"/>
        <w:autoSpaceDN w:val="0"/>
        <w:adjustRightInd w:val="0"/>
        <w:rPr>
          <w:rFonts w:ascii="Arial" w:hAnsi="Arial" w:cs="Arial"/>
        </w:rPr>
      </w:pPr>
      <w:r w:rsidRPr="009970EF">
        <w:rPr>
          <w:rFonts w:ascii="Arial" w:hAnsi="Arial" w:cs="Arial"/>
        </w:rPr>
        <w:t>Reduce the number of business closures;</w:t>
      </w:r>
    </w:p>
    <w:p w14:paraId="31AE6DAE" w14:textId="77777777" w:rsidR="002C7088" w:rsidRPr="009970EF" w:rsidRDefault="002C7088" w:rsidP="002C7088">
      <w:pPr>
        <w:pStyle w:val="ListParagraph"/>
        <w:numPr>
          <w:ilvl w:val="0"/>
          <w:numId w:val="5"/>
        </w:numPr>
        <w:autoSpaceDE w:val="0"/>
        <w:autoSpaceDN w:val="0"/>
        <w:adjustRightInd w:val="0"/>
        <w:rPr>
          <w:rFonts w:ascii="Arial" w:hAnsi="Arial" w:cs="Arial"/>
        </w:rPr>
      </w:pPr>
      <w:r w:rsidRPr="009970EF">
        <w:rPr>
          <w:rFonts w:ascii="Arial" w:hAnsi="Arial" w:cs="Arial"/>
        </w:rPr>
        <w:t>Create sustainable opportunities for businesses at all stages of development to access growth support;</w:t>
      </w:r>
    </w:p>
    <w:p w14:paraId="0BB26888" w14:textId="77777777" w:rsidR="002C7088" w:rsidRPr="009970EF" w:rsidRDefault="002C7088" w:rsidP="002C7088">
      <w:pPr>
        <w:pStyle w:val="ListParagraph"/>
        <w:numPr>
          <w:ilvl w:val="0"/>
          <w:numId w:val="5"/>
        </w:numPr>
        <w:autoSpaceDE w:val="0"/>
        <w:autoSpaceDN w:val="0"/>
        <w:adjustRightInd w:val="0"/>
        <w:rPr>
          <w:rFonts w:ascii="Arial" w:hAnsi="Arial" w:cs="Arial"/>
        </w:rPr>
      </w:pPr>
      <w:r w:rsidRPr="009970EF">
        <w:rPr>
          <w:rFonts w:ascii="Arial" w:hAnsi="Arial" w:cs="Arial"/>
        </w:rPr>
        <w:t>Ensure social and community enterprise start up and growth is integral to the landscape of specialist business support;</w:t>
      </w:r>
    </w:p>
    <w:p w14:paraId="5660E559" w14:textId="77777777" w:rsidR="002C7088" w:rsidRPr="009970EF" w:rsidRDefault="002C7088" w:rsidP="002C7088">
      <w:pPr>
        <w:pStyle w:val="ListParagraph"/>
        <w:numPr>
          <w:ilvl w:val="0"/>
          <w:numId w:val="5"/>
        </w:numPr>
        <w:autoSpaceDE w:val="0"/>
        <w:autoSpaceDN w:val="0"/>
        <w:adjustRightInd w:val="0"/>
        <w:rPr>
          <w:rFonts w:ascii="Arial" w:hAnsi="Arial" w:cs="Arial"/>
        </w:rPr>
      </w:pPr>
      <w:r w:rsidRPr="009970EF">
        <w:rPr>
          <w:rFonts w:ascii="Arial" w:hAnsi="Arial" w:cs="Arial"/>
        </w:rPr>
        <w:t>Support an increase in businesses developing plans and taking actions to improve their resilience and growth potential.</w:t>
      </w:r>
    </w:p>
    <w:p w14:paraId="5E4B6D28" w14:textId="77777777" w:rsidR="002C7088" w:rsidRPr="009970EF" w:rsidRDefault="002C7088" w:rsidP="002C7088">
      <w:pPr>
        <w:autoSpaceDE w:val="0"/>
        <w:autoSpaceDN w:val="0"/>
        <w:adjustRightInd w:val="0"/>
        <w:rPr>
          <w:rFonts w:cs="Arial"/>
          <w:sz w:val="24"/>
          <w:szCs w:val="24"/>
        </w:rPr>
      </w:pPr>
    </w:p>
    <w:p w14:paraId="0EA791F8" w14:textId="77777777" w:rsidR="002C7088" w:rsidRPr="009970EF" w:rsidRDefault="002C7088" w:rsidP="002C7088">
      <w:pPr>
        <w:autoSpaceDE w:val="0"/>
        <w:autoSpaceDN w:val="0"/>
        <w:adjustRightInd w:val="0"/>
        <w:rPr>
          <w:rFonts w:cs="Arial"/>
          <w:sz w:val="24"/>
          <w:szCs w:val="24"/>
        </w:rPr>
      </w:pPr>
      <w:r w:rsidRPr="009970EF">
        <w:rPr>
          <w:rFonts w:cs="Arial"/>
          <w:sz w:val="24"/>
          <w:szCs w:val="24"/>
        </w:rPr>
        <w:t xml:space="preserve">This Grants Scheme will provide one-off grants of </w:t>
      </w:r>
      <w:r w:rsidR="005A3B81" w:rsidRPr="009970EF">
        <w:rPr>
          <w:rFonts w:cs="Arial"/>
          <w:sz w:val="24"/>
          <w:szCs w:val="24"/>
        </w:rPr>
        <w:t xml:space="preserve">between </w:t>
      </w:r>
      <w:r w:rsidR="005A3B81" w:rsidRPr="009970EF">
        <w:rPr>
          <w:rFonts w:cs="Arial"/>
          <w:b/>
          <w:sz w:val="24"/>
          <w:szCs w:val="24"/>
        </w:rPr>
        <w:t>£1,000</w:t>
      </w:r>
      <w:r w:rsidR="005A3B81" w:rsidRPr="009970EF">
        <w:rPr>
          <w:rFonts w:cs="Arial"/>
          <w:sz w:val="24"/>
          <w:szCs w:val="24"/>
        </w:rPr>
        <w:t xml:space="preserve"> and</w:t>
      </w:r>
      <w:r w:rsidRPr="009970EF">
        <w:rPr>
          <w:rFonts w:cs="Arial"/>
          <w:sz w:val="24"/>
          <w:szCs w:val="24"/>
        </w:rPr>
        <w:t xml:space="preserve"> </w:t>
      </w:r>
      <w:r w:rsidRPr="009970EF">
        <w:rPr>
          <w:rFonts w:cs="Arial"/>
          <w:b/>
          <w:sz w:val="24"/>
          <w:szCs w:val="24"/>
        </w:rPr>
        <w:t>£10,000</w:t>
      </w:r>
      <w:r w:rsidRPr="009970EF">
        <w:rPr>
          <w:rFonts w:cs="Arial"/>
          <w:sz w:val="24"/>
          <w:szCs w:val="24"/>
        </w:rPr>
        <w:t xml:space="preserve"> to support cultural businesses to </w:t>
      </w:r>
      <w:r w:rsidR="00947D9D">
        <w:rPr>
          <w:rFonts w:cs="Arial"/>
          <w:sz w:val="24"/>
          <w:szCs w:val="24"/>
        </w:rPr>
        <w:t>deliver these aims.</w:t>
      </w:r>
      <w:r w:rsidRPr="009970EF">
        <w:rPr>
          <w:rFonts w:cs="Arial"/>
          <w:sz w:val="24"/>
          <w:szCs w:val="24"/>
        </w:rPr>
        <w:t xml:space="preserve"> The funds are specifically</w:t>
      </w:r>
      <w:r w:rsidR="00947D9D">
        <w:rPr>
          <w:rFonts w:cs="Arial"/>
          <w:sz w:val="24"/>
          <w:szCs w:val="24"/>
        </w:rPr>
        <w:t xml:space="preserve"> intended</w:t>
      </w:r>
      <w:r w:rsidRPr="009970EF">
        <w:rPr>
          <w:rFonts w:cs="Arial"/>
          <w:sz w:val="24"/>
          <w:szCs w:val="24"/>
        </w:rPr>
        <w:t xml:space="preserve"> to support growth initiatives where no other suitable grant is available.</w:t>
      </w:r>
    </w:p>
    <w:p w14:paraId="4D9782ED" w14:textId="77777777" w:rsidR="002C7088" w:rsidRPr="009970EF" w:rsidRDefault="002C7088" w:rsidP="002C7088">
      <w:pPr>
        <w:autoSpaceDE w:val="0"/>
        <w:autoSpaceDN w:val="0"/>
        <w:adjustRightInd w:val="0"/>
        <w:rPr>
          <w:rFonts w:cs="Arial"/>
          <w:sz w:val="24"/>
          <w:szCs w:val="24"/>
        </w:rPr>
      </w:pPr>
    </w:p>
    <w:p w14:paraId="4886A1E7" w14:textId="77777777" w:rsidR="002C7088" w:rsidRDefault="002C7088" w:rsidP="002C7088">
      <w:pPr>
        <w:pStyle w:val="ListParagraph"/>
        <w:numPr>
          <w:ilvl w:val="0"/>
          <w:numId w:val="4"/>
        </w:numPr>
        <w:autoSpaceDE w:val="0"/>
        <w:autoSpaceDN w:val="0"/>
        <w:adjustRightInd w:val="0"/>
        <w:rPr>
          <w:rFonts w:ascii="Arial" w:hAnsi="Arial" w:cs="Arial"/>
          <w:b/>
        </w:rPr>
      </w:pPr>
      <w:r w:rsidRPr="009970EF">
        <w:rPr>
          <w:rFonts w:ascii="Arial" w:hAnsi="Arial" w:cs="Arial"/>
          <w:b/>
        </w:rPr>
        <w:t>Eligible Business Growth Activity</w:t>
      </w:r>
    </w:p>
    <w:p w14:paraId="6FFDF2A8" w14:textId="77777777" w:rsidR="00947D9D" w:rsidRPr="0022288B" w:rsidRDefault="00947D9D" w:rsidP="0022288B">
      <w:pPr>
        <w:autoSpaceDE w:val="0"/>
        <w:autoSpaceDN w:val="0"/>
        <w:adjustRightInd w:val="0"/>
        <w:rPr>
          <w:rFonts w:cs="Arial"/>
          <w:b/>
        </w:rPr>
      </w:pPr>
    </w:p>
    <w:p w14:paraId="7C530BC4" w14:textId="77777777" w:rsidR="002C7088" w:rsidRDefault="00947D9D" w:rsidP="002C7088">
      <w:pPr>
        <w:autoSpaceDE w:val="0"/>
        <w:autoSpaceDN w:val="0"/>
        <w:adjustRightInd w:val="0"/>
        <w:rPr>
          <w:rFonts w:cs="Arial"/>
          <w:sz w:val="24"/>
          <w:szCs w:val="24"/>
        </w:rPr>
      </w:pPr>
      <w:r>
        <w:rPr>
          <w:rFonts w:cs="Arial"/>
          <w:sz w:val="24"/>
          <w:szCs w:val="24"/>
        </w:rPr>
        <w:t>For the purposes of this funding eligible business growth activity is:</w:t>
      </w:r>
    </w:p>
    <w:p w14:paraId="18F75E68" w14:textId="77777777" w:rsidR="0022288B" w:rsidRPr="009970EF" w:rsidRDefault="0022288B" w:rsidP="002C7088">
      <w:pPr>
        <w:autoSpaceDE w:val="0"/>
        <w:autoSpaceDN w:val="0"/>
        <w:adjustRightInd w:val="0"/>
        <w:rPr>
          <w:rFonts w:cs="Arial"/>
          <w:sz w:val="24"/>
          <w:szCs w:val="24"/>
        </w:rPr>
      </w:pPr>
    </w:p>
    <w:p w14:paraId="64ED8D87" w14:textId="77777777" w:rsidR="009C5D7A" w:rsidRPr="009C5D7A" w:rsidRDefault="002C7088" w:rsidP="009C5D7A">
      <w:pPr>
        <w:pStyle w:val="ListParagraph"/>
        <w:numPr>
          <w:ilvl w:val="0"/>
          <w:numId w:val="6"/>
        </w:numPr>
        <w:autoSpaceDE w:val="0"/>
        <w:autoSpaceDN w:val="0"/>
        <w:adjustRightInd w:val="0"/>
        <w:rPr>
          <w:rFonts w:ascii="Arial" w:hAnsi="Arial" w:cs="Arial"/>
        </w:rPr>
      </w:pPr>
      <w:r w:rsidRPr="009970EF">
        <w:rPr>
          <w:rFonts w:ascii="Arial" w:hAnsi="Arial" w:cs="Arial"/>
        </w:rPr>
        <w:t>Specialist advice on product developm</w:t>
      </w:r>
      <w:r w:rsidR="009C5D7A">
        <w:rPr>
          <w:rFonts w:ascii="Arial" w:hAnsi="Arial" w:cs="Arial"/>
        </w:rPr>
        <w:t xml:space="preserve">ent, including technical advice. </w:t>
      </w:r>
    </w:p>
    <w:p w14:paraId="085B5468" w14:textId="77777777" w:rsidR="002C7088" w:rsidRPr="009970EF" w:rsidRDefault="002C7088" w:rsidP="002C7088">
      <w:pPr>
        <w:pStyle w:val="ListParagraph"/>
        <w:numPr>
          <w:ilvl w:val="0"/>
          <w:numId w:val="6"/>
        </w:numPr>
        <w:autoSpaceDE w:val="0"/>
        <w:autoSpaceDN w:val="0"/>
        <w:adjustRightInd w:val="0"/>
        <w:rPr>
          <w:rFonts w:ascii="Arial" w:hAnsi="Arial" w:cs="Arial"/>
        </w:rPr>
      </w:pPr>
      <w:r w:rsidRPr="009970EF">
        <w:rPr>
          <w:rFonts w:ascii="Arial" w:hAnsi="Arial" w:cs="Arial"/>
        </w:rPr>
        <w:t>Participation in events, festivals, fairs and showcases to enable enterprises to enter, establish and expand in new domestic and internatio</w:t>
      </w:r>
      <w:r w:rsidR="009C5D7A">
        <w:rPr>
          <w:rFonts w:ascii="Arial" w:hAnsi="Arial" w:cs="Arial"/>
        </w:rPr>
        <w:t>nal markets, and across sectors.</w:t>
      </w:r>
    </w:p>
    <w:p w14:paraId="32C1BD86" w14:textId="77777777" w:rsidR="002C7088" w:rsidRPr="009970EF" w:rsidRDefault="002C7088" w:rsidP="002C7088">
      <w:pPr>
        <w:pStyle w:val="ListParagraph"/>
        <w:numPr>
          <w:ilvl w:val="0"/>
          <w:numId w:val="6"/>
        </w:numPr>
        <w:autoSpaceDE w:val="0"/>
        <w:autoSpaceDN w:val="0"/>
        <w:adjustRightInd w:val="0"/>
        <w:rPr>
          <w:rFonts w:ascii="Arial" w:hAnsi="Arial" w:cs="Arial"/>
        </w:rPr>
      </w:pPr>
      <w:r w:rsidRPr="009970EF">
        <w:rPr>
          <w:rFonts w:ascii="Arial" w:hAnsi="Arial" w:cs="Arial"/>
        </w:rPr>
        <w:t>Product and service development that will lead to social innovation, public service application, new solutions through public service procurement and new cross-sector, domestic and geographic markets;</w:t>
      </w:r>
    </w:p>
    <w:p w14:paraId="4D9089CE" w14:textId="77777777" w:rsidR="002C7088" w:rsidRPr="009970EF" w:rsidRDefault="002C7088" w:rsidP="002C7088">
      <w:pPr>
        <w:pStyle w:val="ListParagraph"/>
        <w:numPr>
          <w:ilvl w:val="0"/>
          <w:numId w:val="6"/>
        </w:numPr>
        <w:autoSpaceDE w:val="0"/>
        <w:autoSpaceDN w:val="0"/>
        <w:adjustRightInd w:val="0"/>
        <w:rPr>
          <w:rFonts w:ascii="Arial" w:hAnsi="Arial" w:cs="Arial"/>
        </w:rPr>
      </w:pPr>
      <w:r w:rsidRPr="009970EF">
        <w:rPr>
          <w:rFonts w:ascii="Arial" w:hAnsi="Arial" w:cs="Arial"/>
        </w:rPr>
        <w:lastRenderedPageBreak/>
        <w:t>Co-production of new cultural products, events and services;</w:t>
      </w:r>
    </w:p>
    <w:p w14:paraId="3D0392A8" w14:textId="77777777" w:rsidR="002C7088" w:rsidRDefault="002C7088" w:rsidP="002C7088">
      <w:pPr>
        <w:pStyle w:val="ListParagraph"/>
        <w:numPr>
          <w:ilvl w:val="0"/>
          <w:numId w:val="6"/>
        </w:numPr>
        <w:autoSpaceDE w:val="0"/>
        <w:autoSpaceDN w:val="0"/>
        <w:adjustRightInd w:val="0"/>
        <w:rPr>
          <w:rFonts w:ascii="Arial" w:hAnsi="Arial" w:cs="Arial"/>
        </w:rPr>
      </w:pPr>
      <w:r w:rsidRPr="009970EF">
        <w:rPr>
          <w:rFonts w:ascii="Arial" w:hAnsi="Arial" w:cs="Arial"/>
        </w:rPr>
        <w:t>Purchase of specialist equipment</w:t>
      </w:r>
      <w:r w:rsidR="005A3B81" w:rsidRPr="009970EF">
        <w:rPr>
          <w:rFonts w:ascii="Arial" w:hAnsi="Arial" w:cs="Arial"/>
        </w:rPr>
        <w:t>.</w:t>
      </w:r>
    </w:p>
    <w:p w14:paraId="4D1E034F" w14:textId="77777777" w:rsidR="009C5D7A" w:rsidRDefault="009C5D7A" w:rsidP="009C5D7A">
      <w:pPr>
        <w:autoSpaceDE w:val="0"/>
        <w:autoSpaceDN w:val="0"/>
        <w:adjustRightInd w:val="0"/>
        <w:rPr>
          <w:rFonts w:cs="Arial"/>
        </w:rPr>
      </w:pPr>
    </w:p>
    <w:p w14:paraId="1371C418" w14:textId="77777777" w:rsidR="009C5D7A" w:rsidRPr="009C5D7A" w:rsidRDefault="009C5D7A" w:rsidP="009C5D7A">
      <w:pPr>
        <w:autoSpaceDE w:val="0"/>
        <w:autoSpaceDN w:val="0"/>
        <w:adjustRightInd w:val="0"/>
        <w:rPr>
          <w:rFonts w:cs="Arial"/>
          <w:sz w:val="24"/>
          <w:szCs w:val="24"/>
        </w:rPr>
      </w:pPr>
      <w:r w:rsidRPr="009C5D7A">
        <w:rPr>
          <w:rFonts w:cs="Arial"/>
          <w:sz w:val="24"/>
          <w:szCs w:val="24"/>
        </w:rPr>
        <w:t xml:space="preserve">For further advice on eligible and ineligible </w:t>
      </w:r>
      <w:r>
        <w:rPr>
          <w:rFonts w:cs="Arial"/>
          <w:sz w:val="24"/>
          <w:szCs w:val="24"/>
        </w:rPr>
        <w:t>costs please see Annexe I</w:t>
      </w:r>
      <w:r w:rsidRPr="009C5D7A">
        <w:rPr>
          <w:rFonts w:cs="Arial"/>
          <w:sz w:val="24"/>
          <w:szCs w:val="24"/>
        </w:rPr>
        <w:t>.</w:t>
      </w:r>
    </w:p>
    <w:p w14:paraId="0E7C90C2" w14:textId="77777777" w:rsidR="00E72254" w:rsidRPr="00BF68D3" w:rsidRDefault="00E72254" w:rsidP="00BF68D3">
      <w:pPr>
        <w:autoSpaceDE w:val="0"/>
        <w:autoSpaceDN w:val="0"/>
        <w:adjustRightInd w:val="0"/>
        <w:rPr>
          <w:rFonts w:cs="Arial"/>
        </w:rPr>
      </w:pPr>
    </w:p>
    <w:p w14:paraId="5BCA1341" w14:textId="77777777" w:rsidR="00E72254" w:rsidRPr="009970EF" w:rsidRDefault="002C7088" w:rsidP="00E72254">
      <w:pPr>
        <w:pStyle w:val="ListParagraph"/>
        <w:numPr>
          <w:ilvl w:val="0"/>
          <w:numId w:val="4"/>
        </w:numPr>
        <w:autoSpaceDE w:val="0"/>
        <w:autoSpaceDN w:val="0"/>
        <w:adjustRightInd w:val="0"/>
        <w:rPr>
          <w:rFonts w:ascii="Arial" w:hAnsi="Arial" w:cs="Arial"/>
          <w:b/>
        </w:rPr>
      </w:pPr>
      <w:r w:rsidRPr="009970EF">
        <w:rPr>
          <w:rFonts w:ascii="Arial" w:hAnsi="Arial" w:cs="Arial"/>
          <w:b/>
        </w:rPr>
        <w:t>Who Can Appl</w:t>
      </w:r>
      <w:r w:rsidR="00E72254" w:rsidRPr="009970EF">
        <w:rPr>
          <w:rFonts w:ascii="Arial" w:hAnsi="Arial" w:cs="Arial"/>
          <w:b/>
        </w:rPr>
        <w:t>y?</w:t>
      </w:r>
    </w:p>
    <w:p w14:paraId="725187F7" w14:textId="77777777" w:rsidR="005E4361" w:rsidRPr="009970EF" w:rsidRDefault="005E4361" w:rsidP="005A3B81">
      <w:pPr>
        <w:autoSpaceDE w:val="0"/>
        <w:autoSpaceDN w:val="0"/>
        <w:adjustRightInd w:val="0"/>
        <w:rPr>
          <w:rFonts w:cs="Arial"/>
          <w:color w:val="FF0000"/>
          <w:sz w:val="24"/>
          <w:szCs w:val="24"/>
        </w:rPr>
      </w:pPr>
    </w:p>
    <w:p w14:paraId="3CDA0963" w14:textId="77777777" w:rsidR="005A3B81" w:rsidRPr="009970EF" w:rsidRDefault="0010062B" w:rsidP="009970EF">
      <w:pPr>
        <w:autoSpaceDE w:val="0"/>
        <w:autoSpaceDN w:val="0"/>
        <w:adjustRightInd w:val="0"/>
        <w:jc w:val="both"/>
        <w:rPr>
          <w:rFonts w:cs="Arial"/>
          <w:sz w:val="24"/>
          <w:szCs w:val="24"/>
        </w:rPr>
      </w:pPr>
      <w:r>
        <w:rPr>
          <w:rFonts w:cs="Arial"/>
          <w:sz w:val="24"/>
          <w:szCs w:val="24"/>
        </w:rPr>
        <w:t>Sole traders, SMEs, clusters,</w:t>
      </w:r>
      <w:r w:rsidR="002C7088" w:rsidRPr="009970EF">
        <w:rPr>
          <w:rFonts w:cs="Arial"/>
          <w:sz w:val="24"/>
          <w:szCs w:val="24"/>
        </w:rPr>
        <w:t xml:space="preserve"> business start-ups</w:t>
      </w:r>
      <w:r w:rsidR="00C658F0">
        <w:rPr>
          <w:rFonts w:cs="Arial"/>
          <w:sz w:val="24"/>
          <w:szCs w:val="24"/>
        </w:rPr>
        <w:t xml:space="preserve">, and pre </w:t>
      </w:r>
      <w:r w:rsidR="00BF2A8A">
        <w:rPr>
          <w:rFonts w:cs="Arial"/>
          <w:sz w:val="24"/>
          <w:szCs w:val="24"/>
        </w:rPr>
        <w:t>start-ups</w:t>
      </w:r>
      <w:r w:rsidR="002C7088" w:rsidRPr="009970EF">
        <w:rPr>
          <w:rFonts w:cs="Arial"/>
          <w:sz w:val="24"/>
          <w:szCs w:val="24"/>
        </w:rPr>
        <w:t xml:space="preserve"> currently based in N</w:t>
      </w:r>
      <w:r w:rsidR="00101709" w:rsidRPr="009970EF">
        <w:rPr>
          <w:rFonts w:cs="Arial"/>
          <w:sz w:val="24"/>
          <w:szCs w:val="24"/>
        </w:rPr>
        <w:t>orfolk or Suffolk</w:t>
      </w:r>
      <w:r w:rsidR="00043841" w:rsidRPr="009970EF">
        <w:rPr>
          <w:rFonts w:cs="Arial"/>
          <w:sz w:val="24"/>
          <w:szCs w:val="24"/>
        </w:rPr>
        <w:t xml:space="preserve"> </w:t>
      </w:r>
      <w:r w:rsidR="00120A82">
        <w:rPr>
          <w:rFonts w:cs="Arial"/>
          <w:sz w:val="24"/>
          <w:szCs w:val="24"/>
        </w:rPr>
        <w:t>which have taken part in StartEast</w:t>
      </w:r>
      <w:r w:rsidR="002C7088" w:rsidRPr="009970EF">
        <w:rPr>
          <w:rFonts w:cs="Arial"/>
          <w:sz w:val="24"/>
          <w:szCs w:val="24"/>
        </w:rPr>
        <w:t xml:space="preserve"> networking activities and have received business advice</w:t>
      </w:r>
      <w:r w:rsidR="009970EF">
        <w:rPr>
          <w:rFonts w:cs="Arial"/>
          <w:sz w:val="24"/>
          <w:szCs w:val="24"/>
        </w:rPr>
        <w:t xml:space="preserve"> via our bespoke business route</w:t>
      </w:r>
      <w:r w:rsidR="00127641">
        <w:rPr>
          <w:rFonts w:cs="Arial"/>
          <w:sz w:val="24"/>
          <w:szCs w:val="24"/>
        </w:rPr>
        <w:t>, including</w:t>
      </w:r>
      <w:r w:rsidR="009970EF">
        <w:rPr>
          <w:rFonts w:cs="Arial"/>
          <w:sz w:val="24"/>
          <w:szCs w:val="24"/>
        </w:rPr>
        <w:t>;</w:t>
      </w:r>
    </w:p>
    <w:p w14:paraId="13A70225" w14:textId="77777777" w:rsidR="00E72254" w:rsidRPr="009970EF" w:rsidRDefault="00E72254" w:rsidP="007F201E">
      <w:pPr>
        <w:pStyle w:val="ListParagraph"/>
        <w:autoSpaceDE w:val="0"/>
        <w:autoSpaceDN w:val="0"/>
        <w:adjustRightInd w:val="0"/>
        <w:jc w:val="both"/>
        <w:rPr>
          <w:rFonts w:ascii="Arial" w:hAnsi="Arial" w:cs="Arial"/>
        </w:rPr>
      </w:pPr>
    </w:p>
    <w:p w14:paraId="0909FD7E" w14:textId="77777777" w:rsidR="002C7088" w:rsidRPr="009970EF" w:rsidRDefault="002C7088" w:rsidP="002C7088">
      <w:pPr>
        <w:pStyle w:val="ListParagraph"/>
        <w:numPr>
          <w:ilvl w:val="0"/>
          <w:numId w:val="7"/>
        </w:numPr>
        <w:autoSpaceDE w:val="0"/>
        <w:autoSpaceDN w:val="0"/>
        <w:adjustRightInd w:val="0"/>
        <w:rPr>
          <w:rFonts w:ascii="Arial" w:hAnsi="Arial" w:cs="Arial"/>
        </w:rPr>
      </w:pPr>
      <w:r w:rsidRPr="009970EF">
        <w:rPr>
          <w:rFonts w:ascii="Arial" w:hAnsi="Arial" w:cs="Arial"/>
        </w:rPr>
        <w:t>Sole traders – who have been trading for between two and five years, who are at maximum capacity and believe there is the potential to expand and grow;</w:t>
      </w:r>
    </w:p>
    <w:p w14:paraId="5F4E7927" w14:textId="77777777" w:rsidR="002C7088" w:rsidRPr="009970EF" w:rsidRDefault="002C7088" w:rsidP="002C7088">
      <w:pPr>
        <w:pStyle w:val="ListParagraph"/>
        <w:numPr>
          <w:ilvl w:val="0"/>
          <w:numId w:val="7"/>
        </w:numPr>
        <w:autoSpaceDE w:val="0"/>
        <w:autoSpaceDN w:val="0"/>
        <w:adjustRightInd w:val="0"/>
        <w:rPr>
          <w:rFonts w:ascii="Arial" w:hAnsi="Arial" w:cs="Arial"/>
        </w:rPr>
      </w:pPr>
      <w:r w:rsidRPr="009970EF">
        <w:rPr>
          <w:rFonts w:ascii="Arial" w:hAnsi="Arial" w:cs="Arial"/>
        </w:rPr>
        <w:t>SMEs - which have been trading for between two and five years, which are at maximum capacity and believe there is the potential to expand and grow by extending the area they work across – locally, regionally, nationally and internationally;</w:t>
      </w:r>
    </w:p>
    <w:p w14:paraId="608AB7B7" w14:textId="77777777" w:rsidR="002C7088" w:rsidRPr="009970EF" w:rsidRDefault="002C7088" w:rsidP="002C7088">
      <w:pPr>
        <w:pStyle w:val="ListParagraph"/>
        <w:numPr>
          <w:ilvl w:val="0"/>
          <w:numId w:val="7"/>
        </w:numPr>
        <w:autoSpaceDE w:val="0"/>
        <w:autoSpaceDN w:val="0"/>
        <w:adjustRightInd w:val="0"/>
        <w:rPr>
          <w:rFonts w:ascii="Arial" w:hAnsi="Arial" w:cs="Arial"/>
        </w:rPr>
      </w:pPr>
      <w:r w:rsidRPr="009970EF">
        <w:rPr>
          <w:rFonts w:ascii="Arial" w:hAnsi="Arial" w:cs="Arial"/>
        </w:rPr>
        <w:t>SME and sole trader clusters seeking to enter new markets. We will use the networking events to case-study cluster benefits and to generate these clusters. We will specifically target those SMEs and sole traders seeking to expand into health</w:t>
      </w:r>
      <w:r w:rsidR="00120A82">
        <w:rPr>
          <w:rFonts w:ascii="Arial" w:hAnsi="Arial" w:cs="Arial"/>
        </w:rPr>
        <w:t>, social care,</w:t>
      </w:r>
      <w:r w:rsidRPr="009970EF">
        <w:rPr>
          <w:rFonts w:ascii="Arial" w:hAnsi="Arial" w:cs="Arial"/>
        </w:rPr>
        <w:t xml:space="preserve"> and education sectors; </w:t>
      </w:r>
    </w:p>
    <w:p w14:paraId="44B6CC8F" w14:textId="77777777" w:rsidR="002C7088" w:rsidRPr="009970EF" w:rsidRDefault="002C7088" w:rsidP="002C7088">
      <w:pPr>
        <w:pStyle w:val="ListParagraph"/>
        <w:numPr>
          <w:ilvl w:val="0"/>
          <w:numId w:val="7"/>
        </w:numPr>
        <w:autoSpaceDE w:val="0"/>
        <w:autoSpaceDN w:val="0"/>
        <w:adjustRightInd w:val="0"/>
        <w:rPr>
          <w:rFonts w:ascii="Arial" w:hAnsi="Arial" w:cs="Arial"/>
        </w:rPr>
      </w:pPr>
      <w:r w:rsidRPr="009970EF">
        <w:rPr>
          <w:rFonts w:ascii="Arial" w:hAnsi="Arial" w:cs="Arial"/>
        </w:rPr>
        <w:t xml:space="preserve">Business start-ups – sole traders, self-employed or SMEs who </w:t>
      </w:r>
      <w:r w:rsidR="00B52B15">
        <w:rPr>
          <w:rFonts w:ascii="Arial" w:hAnsi="Arial" w:cs="Arial"/>
        </w:rPr>
        <w:t xml:space="preserve">have just begun or </w:t>
      </w:r>
      <w:r w:rsidRPr="009970EF">
        <w:rPr>
          <w:rFonts w:ascii="Arial" w:hAnsi="Arial" w:cs="Arial"/>
        </w:rPr>
        <w:t>have been trading for up to three and half years – who have spare capacity and believe there is the potential to expand and grow</w:t>
      </w:r>
      <w:r w:rsidR="00120A82">
        <w:rPr>
          <w:rFonts w:ascii="Arial" w:hAnsi="Arial" w:cs="Arial"/>
        </w:rPr>
        <w:t xml:space="preserve"> a new business</w:t>
      </w:r>
      <w:r w:rsidRPr="009970EF">
        <w:rPr>
          <w:rFonts w:ascii="Arial" w:hAnsi="Arial" w:cs="Arial"/>
        </w:rPr>
        <w:t>.</w:t>
      </w:r>
    </w:p>
    <w:p w14:paraId="33D26510" w14:textId="77777777" w:rsidR="002C7088" w:rsidRDefault="002C7088" w:rsidP="002C7088">
      <w:pPr>
        <w:autoSpaceDE w:val="0"/>
        <w:autoSpaceDN w:val="0"/>
        <w:adjustRightInd w:val="0"/>
        <w:rPr>
          <w:rFonts w:cs="Arial"/>
          <w:sz w:val="24"/>
          <w:szCs w:val="24"/>
        </w:rPr>
      </w:pPr>
    </w:p>
    <w:p w14:paraId="297BEBDC" w14:textId="77777777" w:rsidR="00B40E72" w:rsidRPr="00A72C78" w:rsidRDefault="009970EF" w:rsidP="002C7088">
      <w:pPr>
        <w:autoSpaceDE w:val="0"/>
        <w:autoSpaceDN w:val="0"/>
        <w:adjustRightInd w:val="0"/>
        <w:rPr>
          <w:rFonts w:cs="Arial"/>
          <w:i/>
          <w:sz w:val="24"/>
          <w:szCs w:val="24"/>
        </w:rPr>
      </w:pPr>
      <w:r w:rsidRPr="00A72C78">
        <w:rPr>
          <w:rFonts w:cs="Arial"/>
          <w:i/>
          <w:sz w:val="24"/>
          <w:szCs w:val="24"/>
        </w:rPr>
        <w:t xml:space="preserve">SMEs (micro, small, and medium sized enterprises) are defined as enterprises which employ fewer than 250 persons and which have an annual turnover not exceeding EUR 50 million, and/or an annual balance sheet total not exceeding EUR 43 million. </w:t>
      </w:r>
    </w:p>
    <w:p w14:paraId="1214109F" w14:textId="77777777" w:rsidR="00B40E72" w:rsidRPr="00BF68D3" w:rsidRDefault="00B40E72" w:rsidP="002C7088">
      <w:pPr>
        <w:autoSpaceDE w:val="0"/>
        <w:autoSpaceDN w:val="0"/>
        <w:adjustRightInd w:val="0"/>
        <w:rPr>
          <w:rFonts w:cs="Arial"/>
          <w:i/>
          <w:sz w:val="24"/>
          <w:szCs w:val="24"/>
        </w:rPr>
      </w:pPr>
    </w:p>
    <w:p w14:paraId="26CE51FF" w14:textId="77777777" w:rsidR="009970EF" w:rsidRDefault="009970EF" w:rsidP="002C7088">
      <w:pPr>
        <w:autoSpaceDE w:val="0"/>
        <w:autoSpaceDN w:val="0"/>
        <w:adjustRightInd w:val="0"/>
        <w:rPr>
          <w:rFonts w:cs="Arial"/>
          <w:sz w:val="24"/>
          <w:szCs w:val="24"/>
        </w:rPr>
      </w:pPr>
      <w:r>
        <w:rPr>
          <w:rFonts w:cs="Arial"/>
          <w:sz w:val="24"/>
          <w:szCs w:val="24"/>
        </w:rPr>
        <w:t>Applicants will have received advice via our bespoke business route, and will therefore have completed the required SME diagnostic to determine their eligibility to receive support from StartEast.</w:t>
      </w:r>
    </w:p>
    <w:p w14:paraId="542C59E2" w14:textId="77777777" w:rsidR="009970EF" w:rsidRPr="009970EF" w:rsidRDefault="009970EF" w:rsidP="002C7088">
      <w:pPr>
        <w:autoSpaceDE w:val="0"/>
        <w:autoSpaceDN w:val="0"/>
        <w:adjustRightInd w:val="0"/>
        <w:rPr>
          <w:rFonts w:cs="Arial"/>
          <w:sz w:val="24"/>
          <w:szCs w:val="24"/>
        </w:rPr>
      </w:pPr>
    </w:p>
    <w:p w14:paraId="4481206C" w14:textId="77777777" w:rsidR="002C7088" w:rsidRPr="009970EF" w:rsidRDefault="002C7088" w:rsidP="002C7088">
      <w:pPr>
        <w:autoSpaceDE w:val="0"/>
        <w:autoSpaceDN w:val="0"/>
        <w:adjustRightInd w:val="0"/>
        <w:rPr>
          <w:rFonts w:cs="Arial"/>
          <w:i/>
          <w:sz w:val="24"/>
          <w:szCs w:val="24"/>
        </w:rPr>
      </w:pPr>
      <w:r w:rsidRPr="009970EF">
        <w:rPr>
          <w:rFonts w:cs="Arial"/>
          <w:i/>
          <w:sz w:val="24"/>
          <w:szCs w:val="24"/>
        </w:rPr>
        <w:t>N.B: We will not exclude those that have been</w:t>
      </w:r>
      <w:r w:rsidR="00120A82">
        <w:rPr>
          <w:rFonts w:cs="Arial"/>
          <w:i/>
          <w:sz w:val="24"/>
          <w:szCs w:val="24"/>
        </w:rPr>
        <w:t xml:space="preserve"> trading for more</w:t>
      </w:r>
      <w:r w:rsidRPr="009970EF">
        <w:rPr>
          <w:rFonts w:cs="Arial"/>
          <w:i/>
          <w:sz w:val="24"/>
          <w:szCs w:val="24"/>
        </w:rPr>
        <w:t xml:space="preserve"> than five years but businesses in the first phase of growth will be prioritised.  </w:t>
      </w:r>
    </w:p>
    <w:p w14:paraId="28C5A99A" w14:textId="77777777" w:rsidR="002C7088" w:rsidRPr="009970EF" w:rsidRDefault="002C7088" w:rsidP="002C7088">
      <w:pPr>
        <w:autoSpaceDE w:val="0"/>
        <w:autoSpaceDN w:val="0"/>
        <w:adjustRightInd w:val="0"/>
        <w:rPr>
          <w:rFonts w:cs="Arial"/>
          <w:sz w:val="24"/>
          <w:szCs w:val="24"/>
        </w:rPr>
      </w:pPr>
    </w:p>
    <w:p w14:paraId="42082EAB" w14:textId="77777777" w:rsidR="002C7088" w:rsidRPr="009970EF" w:rsidRDefault="002C7088" w:rsidP="002C7088">
      <w:pPr>
        <w:pStyle w:val="ListParagraph"/>
        <w:numPr>
          <w:ilvl w:val="0"/>
          <w:numId w:val="4"/>
        </w:numPr>
        <w:autoSpaceDE w:val="0"/>
        <w:autoSpaceDN w:val="0"/>
        <w:adjustRightInd w:val="0"/>
        <w:rPr>
          <w:rFonts w:ascii="Arial" w:hAnsi="Arial" w:cs="Arial"/>
          <w:b/>
        </w:rPr>
      </w:pPr>
      <w:r w:rsidRPr="009970EF">
        <w:rPr>
          <w:rFonts w:ascii="Arial" w:hAnsi="Arial" w:cs="Arial"/>
          <w:b/>
        </w:rPr>
        <w:t xml:space="preserve">Is the grant funding </w:t>
      </w:r>
      <w:r w:rsidR="00B40E72">
        <w:rPr>
          <w:rFonts w:ascii="Arial" w:hAnsi="Arial" w:cs="Arial"/>
          <w:b/>
        </w:rPr>
        <w:t>required</w:t>
      </w:r>
      <w:r w:rsidRPr="009970EF">
        <w:rPr>
          <w:rFonts w:ascii="Arial" w:hAnsi="Arial" w:cs="Arial"/>
          <w:b/>
        </w:rPr>
        <w:t>?</w:t>
      </w:r>
    </w:p>
    <w:p w14:paraId="4EF33907" w14:textId="77777777" w:rsidR="002C7088" w:rsidRDefault="002C7088" w:rsidP="002C7088">
      <w:pPr>
        <w:autoSpaceDE w:val="0"/>
        <w:autoSpaceDN w:val="0"/>
        <w:adjustRightInd w:val="0"/>
        <w:rPr>
          <w:rFonts w:cs="Arial"/>
          <w:sz w:val="24"/>
          <w:szCs w:val="24"/>
        </w:rPr>
      </w:pPr>
      <w:r w:rsidRPr="009970EF">
        <w:rPr>
          <w:rFonts w:cs="Arial"/>
          <w:sz w:val="24"/>
          <w:szCs w:val="24"/>
        </w:rPr>
        <w:t xml:space="preserve">Applicants are required to demonstrate why they need a grant, what difference it will make to their business and why they have been unable to secure grant funding from other sources. This will form part of the full assessment process. </w:t>
      </w:r>
    </w:p>
    <w:p w14:paraId="63DF9264" w14:textId="77777777" w:rsidR="00120A82" w:rsidRDefault="00120A82" w:rsidP="002C7088">
      <w:pPr>
        <w:autoSpaceDE w:val="0"/>
        <w:autoSpaceDN w:val="0"/>
        <w:adjustRightInd w:val="0"/>
        <w:rPr>
          <w:rFonts w:cs="Arial"/>
          <w:sz w:val="24"/>
          <w:szCs w:val="24"/>
        </w:rPr>
      </w:pPr>
    </w:p>
    <w:p w14:paraId="12FFDFCC" w14:textId="77777777" w:rsidR="00120A82" w:rsidRPr="009970EF" w:rsidRDefault="00120A82" w:rsidP="002C7088">
      <w:pPr>
        <w:autoSpaceDE w:val="0"/>
        <w:autoSpaceDN w:val="0"/>
        <w:adjustRightInd w:val="0"/>
        <w:rPr>
          <w:rFonts w:cs="Arial"/>
          <w:sz w:val="24"/>
          <w:szCs w:val="24"/>
        </w:rPr>
      </w:pPr>
      <w:r>
        <w:rPr>
          <w:rFonts w:cs="Arial"/>
          <w:sz w:val="24"/>
          <w:szCs w:val="24"/>
        </w:rPr>
        <w:t>M</w:t>
      </w:r>
      <w:r w:rsidRPr="00120A82">
        <w:rPr>
          <w:rFonts w:cs="Arial"/>
          <w:sz w:val="24"/>
          <w:szCs w:val="24"/>
        </w:rPr>
        <w:t>any funds for the cultural sector</w:t>
      </w:r>
      <w:r>
        <w:rPr>
          <w:rFonts w:cs="Arial"/>
          <w:sz w:val="24"/>
          <w:szCs w:val="24"/>
        </w:rPr>
        <w:t xml:space="preserve"> and for business development</w:t>
      </w:r>
      <w:r w:rsidRPr="00120A82">
        <w:rPr>
          <w:rFonts w:cs="Arial"/>
          <w:sz w:val="24"/>
          <w:szCs w:val="24"/>
        </w:rPr>
        <w:t xml:space="preserve"> require match funding. StartEast grants can be used as match funding for private sector investment from businesses, registered charities, not for profit organisations, private individuals, and social enterprises.</w:t>
      </w:r>
    </w:p>
    <w:p w14:paraId="7D3943F0" w14:textId="77777777" w:rsidR="002C7088" w:rsidRPr="009970EF" w:rsidRDefault="002C7088" w:rsidP="002C7088">
      <w:pPr>
        <w:autoSpaceDE w:val="0"/>
        <w:autoSpaceDN w:val="0"/>
        <w:adjustRightInd w:val="0"/>
        <w:rPr>
          <w:rFonts w:cs="Arial"/>
          <w:sz w:val="24"/>
          <w:szCs w:val="24"/>
        </w:rPr>
      </w:pPr>
    </w:p>
    <w:p w14:paraId="18F03C2F" w14:textId="77777777" w:rsidR="002C7088" w:rsidRPr="009970EF" w:rsidRDefault="002C7088" w:rsidP="002C7088">
      <w:pPr>
        <w:autoSpaceDE w:val="0"/>
        <w:autoSpaceDN w:val="0"/>
        <w:adjustRightInd w:val="0"/>
        <w:rPr>
          <w:rFonts w:cs="Arial"/>
          <w:i/>
          <w:sz w:val="24"/>
          <w:szCs w:val="24"/>
        </w:rPr>
      </w:pPr>
      <w:r w:rsidRPr="009970EF">
        <w:rPr>
          <w:rFonts w:cs="Arial"/>
          <w:i/>
          <w:sz w:val="24"/>
          <w:szCs w:val="24"/>
        </w:rPr>
        <w:t>N.B: Grants cannot be awarded to projects where other funding is available or where the business growth initiative would proceed regardless.</w:t>
      </w:r>
    </w:p>
    <w:p w14:paraId="5341A36D" w14:textId="77777777" w:rsidR="002C7088" w:rsidRDefault="002C7088" w:rsidP="002C7088">
      <w:pPr>
        <w:autoSpaceDE w:val="0"/>
        <w:autoSpaceDN w:val="0"/>
        <w:adjustRightInd w:val="0"/>
        <w:rPr>
          <w:rFonts w:cs="Arial"/>
          <w:sz w:val="24"/>
          <w:szCs w:val="24"/>
        </w:rPr>
      </w:pPr>
    </w:p>
    <w:p w14:paraId="182769F6" w14:textId="77777777" w:rsidR="0022288B" w:rsidRDefault="0022288B" w:rsidP="002C7088">
      <w:pPr>
        <w:autoSpaceDE w:val="0"/>
        <w:autoSpaceDN w:val="0"/>
        <w:adjustRightInd w:val="0"/>
        <w:rPr>
          <w:rFonts w:cs="Arial"/>
          <w:sz w:val="24"/>
          <w:szCs w:val="24"/>
        </w:rPr>
      </w:pPr>
    </w:p>
    <w:p w14:paraId="3B18C248" w14:textId="77777777" w:rsidR="0022288B" w:rsidRPr="009970EF" w:rsidRDefault="0022288B" w:rsidP="002C7088">
      <w:pPr>
        <w:autoSpaceDE w:val="0"/>
        <w:autoSpaceDN w:val="0"/>
        <w:adjustRightInd w:val="0"/>
        <w:rPr>
          <w:rFonts w:cs="Arial"/>
          <w:sz w:val="24"/>
          <w:szCs w:val="24"/>
        </w:rPr>
      </w:pPr>
    </w:p>
    <w:p w14:paraId="3FE21BAC" w14:textId="77777777" w:rsidR="005E4361" w:rsidRPr="009970EF" w:rsidRDefault="00E72254" w:rsidP="007F201E">
      <w:pPr>
        <w:pStyle w:val="ListParagraph"/>
        <w:numPr>
          <w:ilvl w:val="0"/>
          <w:numId w:val="4"/>
        </w:numPr>
        <w:autoSpaceDE w:val="0"/>
        <w:autoSpaceDN w:val="0"/>
        <w:adjustRightInd w:val="0"/>
        <w:rPr>
          <w:rFonts w:ascii="Arial" w:hAnsi="Arial" w:cs="Arial"/>
          <w:b/>
        </w:rPr>
      </w:pPr>
      <w:r w:rsidRPr="009970EF">
        <w:rPr>
          <w:rFonts w:ascii="Arial" w:hAnsi="Arial" w:cs="Arial"/>
          <w:b/>
        </w:rPr>
        <w:t>Is there a match-funding</w:t>
      </w:r>
      <w:r w:rsidR="00A72C78">
        <w:rPr>
          <w:rFonts w:ascii="Arial" w:hAnsi="Arial" w:cs="Arial"/>
          <w:b/>
        </w:rPr>
        <w:t xml:space="preserve"> and/or cashflow</w:t>
      </w:r>
      <w:r w:rsidRPr="009970EF">
        <w:rPr>
          <w:rFonts w:ascii="Arial" w:hAnsi="Arial" w:cs="Arial"/>
          <w:b/>
        </w:rPr>
        <w:t xml:space="preserve"> requirement? </w:t>
      </w:r>
    </w:p>
    <w:p w14:paraId="604C7551" w14:textId="77777777" w:rsidR="005E4361" w:rsidRPr="009970EF" w:rsidRDefault="005E4361" w:rsidP="005E4361">
      <w:pPr>
        <w:autoSpaceDE w:val="0"/>
        <w:autoSpaceDN w:val="0"/>
        <w:adjustRightInd w:val="0"/>
        <w:rPr>
          <w:rFonts w:cs="Arial"/>
          <w:sz w:val="24"/>
          <w:szCs w:val="24"/>
        </w:rPr>
      </w:pPr>
      <w:r w:rsidRPr="009970EF">
        <w:rPr>
          <w:rFonts w:cs="Arial"/>
          <w:sz w:val="24"/>
          <w:szCs w:val="24"/>
        </w:rPr>
        <w:t>There is no requirement to find match-funding but this is a competitive scheme and applicants will be required to make a strong strategic business case to attract a grant.</w:t>
      </w:r>
      <w:r w:rsidR="00133393">
        <w:rPr>
          <w:rFonts w:cs="Arial"/>
          <w:sz w:val="24"/>
          <w:szCs w:val="24"/>
        </w:rPr>
        <w:t xml:space="preserve"> Applicants will also be expected to demonstrate that they have e</w:t>
      </w:r>
      <w:r w:rsidR="00341D1C">
        <w:rPr>
          <w:rFonts w:cs="Arial"/>
          <w:sz w:val="24"/>
          <w:szCs w:val="24"/>
        </w:rPr>
        <w:t xml:space="preserve">nough available funds to </w:t>
      </w:r>
      <w:r w:rsidR="00A72C78">
        <w:rPr>
          <w:rFonts w:cs="Arial"/>
          <w:sz w:val="24"/>
          <w:szCs w:val="24"/>
        </w:rPr>
        <w:t>cashflow</w:t>
      </w:r>
      <w:r w:rsidR="00133393">
        <w:rPr>
          <w:rFonts w:cs="Arial"/>
          <w:sz w:val="24"/>
          <w:szCs w:val="24"/>
        </w:rPr>
        <w:t xml:space="preserve"> at least 50% of the cost of the proposal.</w:t>
      </w:r>
    </w:p>
    <w:p w14:paraId="703D8A7A" w14:textId="77777777" w:rsidR="002C7088" w:rsidRPr="009970EF" w:rsidRDefault="002C7088" w:rsidP="002C7088">
      <w:pPr>
        <w:autoSpaceDE w:val="0"/>
        <w:autoSpaceDN w:val="0"/>
        <w:adjustRightInd w:val="0"/>
        <w:rPr>
          <w:rFonts w:cs="Arial"/>
          <w:sz w:val="24"/>
          <w:szCs w:val="24"/>
        </w:rPr>
      </w:pPr>
    </w:p>
    <w:p w14:paraId="03F6534D" w14:textId="77777777" w:rsidR="002D12E5" w:rsidRPr="009970EF" w:rsidRDefault="002C7088" w:rsidP="002C7088">
      <w:pPr>
        <w:autoSpaceDE w:val="0"/>
        <w:autoSpaceDN w:val="0"/>
        <w:adjustRightInd w:val="0"/>
        <w:rPr>
          <w:rFonts w:cs="Arial"/>
          <w:sz w:val="24"/>
          <w:szCs w:val="24"/>
        </w:rPr>
      </w:pPr>
      <w:r w:rsidRPr="009970EF">
        <w:rPr>
          <w:rFonts w:cs="Arial"/>
          <w:sz w:val="24"/>
          <w:szCs w:val="24"/>
        </w:rPr>
        <w:t xml:space="preserve">Information </w:t>
      </w:r>
      <w:r w:rsidR="00B40E72">
        <w:rPr>
          <w:rFonts w:cs="Arial"/>
          <w:sz w:val="24"/>
          <w:szCs w:val="24"/>
        </w:rPr>
        <w:t>is</w:t>
      </w:r>
      <w:r w:rsidR="00BF68D3">
        <w:rPr>
          <w:rFonts w:cs="Arial"/>
          <w:sz w:val="24"/>
          <w:szCs w:val="24"/>
        </w:rPr>
        <w:t xml:space="preserve"> </w:t>
      </w:r>
      <w:r w:rsidRPr="009970EF">
        <w:rPr>
          <w:rFonts w:cs="Arial"/>
          <w:sz w:val="24"/>
          <w:szCs w:val="24"/>
        </w:rPr>
        <w:t xml:space="preserve">available in large print, audio, Braille, alternative format or in a different language via Norfolk Arts Service on 01603 222941 or email </w:t>
      </w:r>
      <w:hyperlink r:id="rId12" w:history="1">
        <w:r w:rsidR="00CC1BC6" w:rsidRPr="009970EF">
          <w:rPr>
            <w:rStyle w:val="Hyperlink"/>
            <w:rFonts w:cs="Arial"/>
            <w:sz w:val="24"/>
            <w:szCs w:val="24"/>
          </w:rPr>
          <w:t>arts@norfolk.gov.uk</w:t>
        </w:r>
      </w:hyperlink>
      <w:r w:rsidR="00CC1BC6" w:rsidRPr="009970EF">
        <w:rPr>
          <w:rFonts w:cs="Arial"/>
          <w:sz w:val="24"/>
          <w:szCs w:val="24"/>
        </w:rPr>
        <w:t xml:space="preserve"> </w:t>
      </w:r>
    </w:p>
    <w:p w14:paraId="1BE65085" w14:textId="77777777" w:rsidR="009970EF" w:rsidRDefault="009970EF" w:rsidP="002C7088">
      <w:pPr>
        <w:autoSpaceDE w:val="0"/>
        <w:autoSpaceDN w:val="0"/>
        <w:adjustRightInd w:val="0"/>
        <w:rPr>
          <w:rFonts w:asciiTheme="minorHAnsi" w:hAnsiTheme="minorHAnsi"/>
          <w:sz w:val="24"/>
          <w:szCs w:val="24"/>
        </w:rPr>
      </w:pPr>
    </w:p>
    <w:p w14:paraId="6DABC3D9" w14:textId="77777777" w:rsidR="009970EF" w:rsidRPr="009970EF" w:rsidRDefault="009970EF" w:rsidP="009970EF">
      <w:pPr>
        <w:rPr>
          <w:rFonts w:asciiTheme="minorHAnsi" w:hAnsiTheme="minorHAnsi"/>
          <w:sz w:val="24"/>
          <w:szCs w:val="24"/>
        </w:rPr>
      </w:pPr>
    </w:p>
    <w:tbl>
      <w:tblPr>
        <w:tblpPr w:leftFromText="180" w:rightFromText="180" w:vertAnchor="text" w:horzAnchor="margin" w:tblpXSpec="center" w:tblpY="182"/>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7085"/>
      </w:tblGrid>
      <w:tr w:rsidR="00043D0F" w14:paraId="6EAA948A" w14:textId="77777777" w:rsidTr="00043D0F">
        <w:trPr>
          <w:cantSplit/>
        </w:trPr>
        <w:tc>
          <w:tcPr>
            <w:tcW w:w="2411" w:type="dxa"/>
            <w:tcBorders>
              <w:top w:val="single" w:sz="4" w:space="0" w:color="auto"/>
              <w:left w:val="single" w:sz="4" w:space="0" w:color="auto"/>
              <w:bottom w:val="single" w:sz="4" w:space="0" w:color="auto"/>
              <w:right w:val="nil"/>
            </w:tcBorders>
            <w:vAlign w:val="center"/>
            <w:hideMark/>
          </w:tcPr>
          <w:p w14:paraId="688584C8" w14:textId="77777777" w:rsidR="00043D0F" w:rsidRDefault="00043D0F">
            <w:pPr>
              <w:spacing w:before="60" w:after="60" w:line="256" w:lineRule="auto"/>
              <w:rPr>
                <w:rFonts w:cs="Arial"/>
                <w:sz w:val="24"/>
                <w:szCs w:val="24"/>
              </w:rPr>
            </w:pPr>
            <w:r>
              <w:rPr>
                <w:rFonts w:cs="Arial"/>
                <w:sz w:val="24"/>
                <w:szCs w:val="24"/>
              </w:rPr>
              <w:object w:dxaOrig="2160" w:dyaOrig="1155" w14:anchorId="7AE61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8pt" o:ole="" fillcolor="window">
                  <v:imagedata r:id="rId13" o:title=""/>
                </v:shape>
                <o:OLEObject Type="Embed" ProgID="Word.Picture.8" ShapeID="_x0000_i1025" DrawAspect="Content" ObjectID="_1556097817" r:id="rId14"/>
              </w:object>
            </w:r>
          </w:p>
        </w:tc>
        <w:tc>
          <w:tcPr>
            <w:tcW w:w="7087" w:type="dxa"/>
            <w:tcBorders>
              <w:top w:val="single" w:sz="4" w:space="0" w:color="auto"/>
              <w:left w:val="nil"/>
              <w:bottom w:val="single" w:sz="4" w:space="0" w:color="auto"/>
              <w:right w:val="single" w:sz="4" w:space="0" w:color="auto"/>
            </w:tcBorders>
            <w:vAlign w:val="center"/>
            <w:hideMark/>
          </w:tcPr>
          <w:p w14:paraId="6543E55D" w14:textId="77777777" w:rsidR="00043D0F" w:rsidRDefault="00043D0F">
            <w:pPr>
              <w:spacing w:line="256" w:lineRule="auto"/>
              <w:rPr>
                <w:rFonts w:cs="Arial"/>
                <w:sz w:val="24"/>
                <w:szCs w:val="24"/>
              </w:rPr>
            </w:pPr>
            <w:r>
              <w:rPr>
                <w:rFonts w:cs="Arial"/>
                <w:sz w:val="24"/>
                <w:szCs w:val="24"/>
              </w:rPr>
              <w:t xml:space="preserve">If you need this form in large print, audio, Braille, alternative format or in a different language please contact the Norfolk Arts Service on: Telephone 01603 223262 </w:t>
            </w:r>
          </w:p>
          <w:p w14:paraId="78C31286" w14:textId="77777777" w:rsidR="00043D0F" w:rsidRDefault="00043D0F">
            <w:pPr>
              <w:spacing w:line="256" w:lineRule="auto"/>
              <w:rPr>
                <w:rFonts w:cs="Arial"/>
                <w:sz w:val="24"/>
                <w:szCs w:val="24"/>
              </w:rPr>
            </w:pPr>
            <w:r>
              <w:rPr>
                <w:rFonts w:cs="Arial"/>
                <w:sz w:val="24"/>
                <w:szCs w:val="24"/>
              </w:rPr>
              <w:t xml:space="preserve">Email </w:t>
            </w:r>
            <w:hyperlink r:id="rId15" w:history="1">
              <w:r>
                <w:rPr>
                  <w:rStyle w:val="Hyperlink"/>
                  <w:rFonts w:cs="Arial"/>
                  <w:sz w:val="24"/>
                  <w:szCs w:val="24"/>
                </w:rPr>
                <w:t>arts@norfolk.gov.uk</w:t>
              </w:r>
            </w:hyperlink>
            <w:r>
              <w:rPr>
                <w:rFonts w:cs="Arial"/>
                <w:sz w:val="24"/>
                <w:szCs w:val="24"/>
              </w:rPr>
              <w:t xml:space="preserve"> and we will do our best to help.</w:t>
            </w:r>
          </w:p>
        </w:tc>
      </w:tr>
    </w:tbl>
    <w:p w14:paraId="71854B3F" w14:textId="77777777" w:rsidR="00CC1BC6" w:rsidRDefault="00CC1BC6" w:rsidP="00D20BF2">
      <w:pPr>
        <w:rPr>
          <w:rFonts w:asciiTheme="minorHAnsi" w:hAnsiTheme="minorHAnsi"/>
          <w:sz w:val="24"/>
          <w:szCs w:val="24"/>
        </w:rPr>
      </w:pPr>
    </w:p>
    <w:p w14:paraId="21A4B3FD" w14:textId="77777777" w:rsidR="009C5D7A" w:rsidRDefault="009C5D7A" w:rsidP="00D20BF2">
      <w:pPr>
        <w:rPr>
          <w:rFonts w:asciiTheme="minorHAnsi" w:hAnsiTheme="minorHAnsi"/>
          <w:sz w:val="24"/>
          <w:szCs w:val="24"/>
        </w:rPr>
      </w:pPr>
    </w:p>
    <w:p w14:paraId="4699AD61" w14:textId="77777777" w:rsidR="009C5D7A" w:rsidRDefault="009C5D7A" w:rsidP="00D20BF2">
      <w:pPr>
        <w:rPr>
          <w:rFonts w:asciiTheme="minorHAnsi" w:hAnsiTheme="minorHAnsi"/>
          <w:sz w:val="24"/>
          <w:szCs w:val="24"/>
        </w:rPr>
      </w:pPr>
    </w:p>
    <w:p w14:paraId="109D2C1F" w14:textId="77777777" w:rsidR="009C5D7A" w:rsidRDefault="009C5D7A" w:rsidP="00D20BF2">
      <w:pPr>
        <w:rPr>
          <w:rFonts w:asciiTheme="minorHAnsi" w:hAnsiTheme="minorHAnsi"/>
          <w:sz w:val="24"/>
          <w:szCs w:val="24"/>
        </w:rPr>
      </w:pPr>
    </w:p>
    <w:p w14:paraId="78B2587B" w14:textId="77777777" w:rsidR="009C5D7A" w:rsidRDefault="009C5D7A" w:rsidP="00D20BF2">
      <w:pPr>
        <w:rPr>
          <w:rFonts w:asciiTheme="minorHAnsi" w:hAnsiTheme="minorHAnsi"/>
          <w:sz w:val="24"/>
          <w:szCs w:val="24"/>
        </w:rPr>
      </w:pPr>
    </w:p>
    <w:p w14:paraId="6CF961DD" w14:textId="77777777" w:rsidR="009C5D7A" w:rsidRDefault="009C5D7A" w:rsidP="00D20BF2">
      <w:pPr>
        <w:rPr>
          <w:rFonts w:asciiTheme="minorHAnsi" w:hAnsiTheme="minorHAnsi"/>
          <w:sz w:val="24"/>
          <w:szCs w:val="24"/>
        </w:rPr>
      </w:pPr>
    </w:p>
    <w:p w14:paraId="362C4CCD" w14:textId="77777777" w:rsidR="009C5D7A" w:rsidRDefault="009C5D7A" w:rsidP="00D20BF2">
      <w:pPr>
        <w:rPr>
          <w:rFonts w:asciiTheme="minorHAnsi" w:hAnsiTheme="minorHAnsi"/>
          <w:sz w:val="24"/>
          <w:szCs w:val="24"/>
        </w:rPr>
      </w:pPr>
    </w:p>
    <w:p w14:paraId="5C8B3581" w14:textId="77777777" w:rsidR="009C5D7A" w:rsidRDefault="009C5D7A" w:rsidP="00D20BF2">
      <w:pPr>
        <w:rPr>
          <w:rFonts w:asciiTheme="minorHAnsi" w:hAnsiTheme="minorHAnsi"/>
          <w:sz w:val="24"/>
          <w:szCs w:val="24"/>
        </w:rPr>
      </w:pPr>
    </w:p>
    <w:p w14:paraId="63907851" w14:textId="77777777" w:rsidR="009C5D7A" w:rsidRDefault="009C5D7A" w:rsidP="00D20BF2">
      <w:pPr>
        <w:rPr>
          <w:rFonts w:asciiTheme="minorHAnsi" w:hAnsiTheme="minorHAnsi"/>
          <w:sz w:val="24"/>
          <w:szCs w:val="24"/>
        </w:rPr>
      </w:pPr>
    </w:p>
    <w:p w14:paraId="3864AF31" w14:textId="77777777" w:rsidR="009C5D7A" w:rsidRDefault="009C5D7A" w:rsidP="00D20BF2">
      <w:pPr>
        <w:rPr>
          <w:rFonts w:asciiTheme="minorHAnsi" w:hAnsiTheme="minorHAnsi"/>
          <w:sz w:val="24"/>
          <w:szCs w:val="24"/>
        </w:rPr>
      </w:pPr>
    </w:p>
    <w:p w14:paraId="09A1B6A2" w14:textId="77777777" w:rsidR="009C5D7A" w:rsidRDefault="009C5D7A" w:rsidP="00D20BF2">
      <w:pPr>
        <w:rPr>
          <w:rFonts w:asciiTheme="minorHAnsi" w:hAnsiTheme="minorHAnsi"/>
          <w:sz w:val="24"/>
          <w:szCs w:val="24"/>
        </w:rPr>
      </w:pPr>
    </w:p>
    <w:p w14:paraId="1BE81170" w14:textId="77777777" w:rsidR="009C5D7A" w:rsidRDefault="009C5D7A" w:rsidP="00D20BF2">
      <w:pPr>
        <w:rPr>
          <w:rFonts w:asciiTheme="minorHAnsi" w:hAnsiTheme="minorHAnsi"/>
          <w:sz w:val="24"/>
          <w:szCs w:val="24"/>
        </w:rPr>
      </w:pPr>
    </w:p>
    <w:p w14:paraId="30F1AC16" w14:textId="77777777" w:rsidR="009C5D7A" w:rsidRDefault="009C5D7A" w:rsidP="00D20BF2">
      <w:pPr>
        <w:rPr>
          <w:rFonts w:asciiTheme="minorHAnsi" w:hAnsiTheme="minorHAnsi"/>
          <w:sz w:val="24"/>
          <w:szCs w:val="24"/>
        </w:rPr>
      </w:pPr>
    </w:p>
    <w:p w14:paraId="42639CE3" w14:textId="77777777" w:rsidR="009C5D7A" w:rsidRDefault="009C5D7A" w:rsidP="00D20BF2">
      <w:pPr>
        <w:rPr>
          <w:rFonts w:asciiTheme="minorHAnsi" w:hAnsiTheme="minorHAnsi"/>
          <w:sz w:val="24"/>
          <w:szCs w:val="24"/>
        </w:rPr>
      </w:pPr>
    </w:p>
    <w:p w14:paraId="02868297" w14:textId="77777777" w:rsidR="009C5D7A" w:rsidRDefault="009C5D7A" w:rsidP="00D20BF2">
      <w:pPr>
        <w:rPr>
          <w:rFonts w:asciiTheme="minorHAnsi" w:hAnsiTheme="minorHAnsi"/>
          <w:sz w:val="24"/>
          <w:szCs w:val="24"/>
        </w:rPr>
      </w:pPr>
    </w:p>
    <w:p w14:paraId="7D4C9153" w14:textId="77777777" w:rsidR="009C5D7A" w:rsidRDefault="009C5D7A" w:rsidP="00D20BF2">
      <w:pPr>
        <w:rPr>
          <w:rFonts w:asciiTheme="minorHAnsi" w:hAnsiTheme="minorHAnsi"/>
          <w:sz w:val="24"/>
          <w:szCs w:val="24"/>
        </w:rPr>
      </w:pPr>
    </w:p>
    <w:p w14:paraId="7D701F60" w14:textId="77777777" w:rsidR="009C5D7A" w:rsidRDefault="009C5D7A" w:rsidP="00D20BF2">
      <w:pPr>
        <w:rPr>
          <w:rFonts w:asciiTheme="minorHAnsi" w:hAnsiTheme="minorHAnsi"/>
          <w:sz w:val="24"/>
          <w:szCs w:val="24"/>
        </w:rPr>
      </w:pPr>
    </w:p>
    <w:p w14:paraId="5170B151" w14:textId="77777777" w:rsidR="009C5D7A" w:rsidRDefault="009C5D7A" w:rsidP="00D20BF2">
      <w:pPr>
        <w:rPr>
          <w:rFonts w:asciiTheme="minorHAnsi" w:hAnsiTheme="minorHAnsi"/>
          <w:sz w:val="24"/>
          <w:szCs w:val="24"/>
        </w:rPr>
      </w:pPr>
    </w:p>
    <w:p w14:paraId="6B4F4B9C" w14:textId="77777777" w:rsidR="009C5D7A" w:rsidRDefault="009C5D7A" w:rsidP="00D20BF2">
      <w:pPr>
        <w:rPr>
          <w:rFonts w:asciiTheme="minorHAnsi" w:hAnsiTheme="minorHAnsi"/>
          <w:sz w:val="24"/>
          <w:szCs w:val="24"/>
        </w:rPr>
      </w:pPr>
    </w:p>
    <w:p w14:paraId="5C14A20C" w14:textId="77777777" w:rsidR="009C5D7A" w:rsidRDefault="009C5D7A" w:rsidP="00D20BF2">
      <w:pPr>
        <w:rPr>
          <w:rFonts w:asciiTheme="minorHAnsi" w:hAnsiTheme="minorHAnsi"/>
          <w:sz w:val="24"/>
          <w:szCs w:val="24"/>
        </w:rPr>
      </w:pPr>
    </w:p>
    <w:p w14:paraId="1E99824C" w14:textId="77777777" w:rsidR="009C5D7A" w:rsidRDefault="009C5D7A" w:rsidP="00D20BF2">
      <w:pPr>
        <w:rPr>
          <w:rFonts w:asciiTheme="minorHAnsi" w:hAnsiTheme="minorHAnsi"/>
          <w:sz w:val="24"/>
          <w:szCs w:val="24"/>
        </w:rPr>
      </w:pPr>
    </w:p>
    <w:p w14:paraId="02287295" w14:textId="77777777" w:rsidR="009C5D7A" w:rsidRDefault="009C5D7A" w:rsidP="00D20BF2">
      <w:pPr>
        <w:rPr>
          <w:rFonts w:asciiTheme="minorHAnsi" w:hAnsiTheme="minorHAnsi"/>
          <w:sz w:val="24"/>
          <w:szCs w:val="24"/>
        </w:rPr>
      </w:pPr>
    </w:p>
    <w:p w14:paraId="64C070DA" w14:textId="77777777" w:rsidR="009C5D7A" w:rsidRDefault="009C5D7A" w:rsidP="00D20BF2">
      <w:pPr>
        <w:rPr>
          <w:rFonts w:asciiTheme="minorHAnsi" w:hAnsiTheme="minorHAnsi"/>
          <w:sz w:val="24"/>
          <w:szCs w:val="24"/>
        </w:rPr>
      </w:pPr>
    </w:p>
    <w:p w14:paraId="45B65A47" w14:textId="77777777" w:rsidR="009C5D7A" w:rsidRDefault="009C5D7A" w:rsidP="00D20BF2">
      <w:pPr>
        <w:rPr>
          <w:rFonts w:asciiTheme="minorHAnsi" w:hAnsiTheme="minorHAnsi"/>
          <w:sz w:val="24"/>
          <w:szCs w:val="24"/>
        </w:rPr>
      </w:pPr>
    </w:p>
    <w:p w14:paraId="7FB222AA" w14:textId="77777777" w:rsidR="009C5D7A" w:rsidRDefault="009C5D7A" w:rsidP="00D20BF2">
      <w:pPr>
        <w:rPr>
          <w:rFonts w:asciiTheme="minorHAnsi" w:hAnsiTheme="minorHAnsi"/>
          <w:sz w:val="24"/>
          <w:szCs w:val="24"/>
        </w:rPr>
      </w:pPr>
    </w:p>
    <w:p w14:paraId="7D9A6B1A" w14:textId="77777777" w:rsidR="009C5D7A" w:rsidRDefault="009C5D7A" w:rsidP="00D20BF2">
      <w:pPr>
        <w:rPr>
          <w:rFonts w:asciiTheme="minorHAnsi" w:hAnsiTheme="minorHAnsi"/>
          <w:sz w:val="24"/>
          <w:szCs w:val="24"/>
        </w:rPr>
      </w:pPr>
    </w:p>
    <w:p w14:paraId="211167B3" w14:textId="77777777" w:rsidR="00043D0F" w:rsidRDefault="00043D0F" w:rsidP="00D20BF2">
      <w:pPr>
        <w:rPr>
          <w:rFonts w:asciiTheme="minorHAnsi" w:hAnsiTheme="minorHAnsi"/>
          <w:sz w:val="24"/>
          <w:szCs w:val="24"/>
        </w:rPr>
      </w:pPr>
    </w:p>
    <w:p w14:paraId="280BBFB4" w14:textId="77777777" w:rsidR="009C5D7A" w:rsidRDefault="009C5D7A" w:rsidP="00D20BF2">
      <w:pPr>
        <w:rPr>
          <w:rFonts w:asciiTheme="minorHAnsi" w:hAnsiTheme="minorHAnsi"/>
          <w:sz w:val="24"/>
          <w:szCs w:val="24"/>
        </w:rPr>
      </w:pPr>
    </w:p>
    <w:p w14:paraId="65C62E96" w14:textId="77777777" w:rsidR="009C5D7A" w:rsidRDefault="009C5D7A" w:rsidP="00D20BF2">
      <w:pPr>
        <w:rPr>
          <w:rFonts w:asciiTheme="minorHAnsi" w:hAnsiTheme="minorHAnsi"/>
          <w:sz w:val="24"/>
          <w:szCs w:val="24"/>
        </w:rPr>
      </w:pPr>
    </w:p>
    <w:p w14:paraId="7EF6144B" w14:textId="77777777" w:rsidR="009C5D7A" w:rsidRDefault="009C5D7A" w:rsidP="00D20BF2">
      <w:pPr>
        <w:rPr>
          <w:rFonts w:asciiTheme="minorHAnsi" w:hAnsiTheme="minorHAnsi"/>
          <w:sz w:val="24"/>
          <w:szCs w:val="24"/>
        </w:rPr>
      </w:pPr>
    </w:p>
    <w:p w14:paraId="41757F5A" w14:textId="77777777" w:rsidR="009C5D7A" w:rsidRDefault="009C5D7A" w:rsidP="00D20BF2">
      <w:pPr>
        <w:rPr>
          <w:rFonts w:asciiTheme="minorHAnsi" w:hAnsiTheme="minorHAnsi"/>
          <w:sz w:val="24"/>
          <w:szCs w:val="24"/>
        </w:rPr>
      </w:pPr>
    </w:p>
    <w:p w14:paraId="53A36E25" w14:textId="77777777" w:rsidR="009C5D7A" w:rsidRDefault="009C5D7A" w:rsidP="00D20BF2">
      <w:pPr>
        <w:rPr>
          <w:rFonts w:asciiTheme="minorHAnsi" w:hAnsiTheme="minorHAnsi"/>
          <w:sz w:val="24"/>
          <w:szCs w:val="24"/>
        </w:rPr>
      </w:pPr>
    </w:p>
    <w:p w14:paraId="3FC56219" w14:textId="77777777" w:rsidR="009C5D7A" w:rsidRDefault="009C5D7A" w:rsidP="009C5D7A">
      <w:pPr>
        <w:jc w:val="center"/>
        <w:rPr>
          <w:rFonts w:cs="Arial"/>
          <w:sz w:val="24"/>
          <w:szCs w:val="24"/>
        </w:rPr>
      </w:pPr>
      <w:r>
        <w:rPr>
          <w:noProof/>
          <w:lang w:eastAsia="en-GB"/>
        </w:rPr>
        <w:lastRenderedPageBreak/>
        <w:drawing>
          <wp:anchor distT="0" distB="0" distL="114300" distR="114300" simplePos="0" relativeHeight="251675648" behindDoc="0" locked="0" layoutInCell="1" allowOverlap="1" wp14:anchorId="71787989" wp14:editId="35DB79E7">
            <wp:simplePos x="0" y="0"/>
            <wp:positionH relativeFrom="column">
              <wp:posOffset>3811905</wp:posOffset>
            </wp:positionH>
            <wp:positionV relativeFrom="paragraph">
              <wp:posOffset>-111125</wp:posOffset>
            </wp:positionV>
            <wp:extent cx="2186940" cy="697865"/>
            <wp:effectExtent l="0" t="0" r="381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LE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940"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FE05395" wp14:editId="1BF34B9B">
            <wp:simplePos x="0" y="0"/>
            <wp:positionH relativeFrom="column">
              <wp:posOffset>3352800</wp:posOffset>
            </wp:positionH>
            <wp:positionV relativeFrom="paragraph">
              <wp:posOffset>-523875</wp:posOffset>
            </wp:positionV>
            <wp:extent cx="2646627" cy="29527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NCC-logos-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627" cy="295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5FA82FEE" wp14:editId="5243A742">
            <wp:simplePos x="0" y="0"/>
            <wp:positionH relativeFrom="column">
              <wp:posOffset>-514350</wp:posOffset>
            </wp:positionH>
            <wp:positionV relativeFrom="paragraph">
              <wp:posOffset>226060</wp:posOffset>
            </wp:positionV>
            <wp:extent cx="2857524" cy="771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ttery Blac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24"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08747B1A" wp14:editId="77A34C0A">
            <wp:simplePos x="0" y="0"/>
            <wp:positionH relativeFrom="column">
              <wp:posOffset>-514350</wp:posOffset>
            </wp:positionH>
            <wp:positionV relativeFrom="paragraph">
              <wp:posOffset>-523875</wp:posOffset>
            </wp:positionV>
            <wp:extent cx="2952773" cy="657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D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73" cy="657225"/>
                    </a:xfrm>
                    <a:prstGeom prst="rect">
                      <a:avLst/>
                    </a:prstGeom>
                  </pic:spPr>
                </pic:pic>
              </a:graphicData>
            </a:graphic>
            <wp14:sizeRelH relativeFrom="page">
              <wp14:pctWidth>0</wp14:pctWidth>
            </wp14:sizeRelH>
            <wp14:sizeRelV relativeFrom="page">
              <wp14:pctHeight>0</wp14:pctHeight>
            </wp14:sizeRelV>
          </wp:anchor>
        </w:drawing>
      </w:r>
    </w:p>
    <w:p w14:paraId="12513F10" w14:textId="77777777" w:rsidR="009C5D7A" w:rsidRDefault="009C5D7A" w:rsidP="009C5D7A">
      <w:pPr>
        <w:jc w:val="center"/>
        <w:rPr>
          <w:rFonts w:cs="Arial"/>
          <w:sz w:val="24"/>
          <w:szCs w:val="24"/>
        </w:rPr>
      </w:pPr>
    </w:p>
    <w:p w14:paraId="51ED0474" w14:textId="77777777" w:rsidR="009C5D7A" w:rsidRDefault="009C5D7A" w:rsidP="009C5D7A">
      <w:pPr>
        <w:jc w:val="center"/>
        <w:rPr>
          <w:rFonts w:cs="Arial"/>
          <w:sz w:val="24"/>
          <w:szCs w:val="24"/>
        </w:rPr>
      </w:pPr>
    </w:p>
    <w:p w14:paraId="0CD0C676" w14:textId="77777777" w:rsidR="009C5D7A" w:rsidRDefault="009C5D7A" w:rsidP="009C5D7A">
      <w:pPr>
        <w:jc w:val="center"/>
        <w:rPr>
          <w:rFonts w:cs="Arial"/>
          <w:sz w:val="24"/>
          <w:szCs w:val="24"/>
        </w:rPr>
      </w:pPr>
    </w:p>
    <w:p w14:paraId="405A5B0F" w14:textId="77777777" w:rsidR="009C5D7A" w:rsidRDefault="009C5D7A" w:rsidP="009C5D7A">
      <w:pPr>
        <w:jc w:val="center"/>
        <w:rPr>
          <w:rFonts w:cs="Arial"/>
          <w:sz w:val="24"/>
          <w:szCs w:val="24"/>
        </w:rPr>
      </w:pPr>
    </w:p>
    <w:p w14:paraId="65641F25" w14:textId="3C6F6C57" w:rsidR="009C5D7A" w:rsidRDefault="009C5D7A" w:rsidP="009C5D7A">
      <w:pPr>
        <w:jc w:val="center"/>
        <w:rPr>
          <w:rFonts w:cs="Arial"/>
          <w:sz w:val="24"/>
          <w:szCs w:val="24"/>
        </w:rPr>
      </w:pPr>
    </w:p>
    <w:p w14:paraId="4D0BC055" w14:textId="1C530B1B" w:rsidR="009C5D7A" w:rsidRDefault="009C5D7A" w:rsidP="009C5D7A">
      <w:pPr>
        <w:jc w:val="center"/>
        <w:rPr>
          <w:rFonts w:cs="Arial"/>
          <w:sz w:val="24"/>
          <w:szCs w:val="24"/>
        </w:rPr>
      </w:pPr>
    </w:p>
    <w:p w14:paraId="56DE5A50" w14:textId="38DDD7B0" w:rsidR="009C5D7A" w:rsidRDefault="00663042" w:rsidP="009C5D7A">
      <w:pPr>
        <w:jc w:val="center"/>
        <w:rPr>
          <w:rFonts w:cs="Arial"/>
          <w:sz w:val="24"/>
          <w:szCs w:val="24"/>
        </w:rPr>
      </w:pPr>
      <w:r>
        <w:rPr>
          <w:rFonts w:cs="Arial"/>
          <w:noProof/>
          <w:sz w:val="24"/>
          <w:szCs w:val="24"/>
          <w:lang w:eastAsia="en-GB"/>
        </w:rPr>
        <w:drawing>
          <wp:anchor distT="0" distB="0" distL="114300" distR="114300" simplePos="0" relativeHeight="251679744" behindDoc="0" locked="0" layoutInCell="1" allowOverlap="1" wp14:anchorId="2303CD17" wp14:editId="03B859D3">
            <wp:simplePos x="0" y="0"/>
            <wp:positionH relativeFrom="column">
              <wp:posOffset>419100</wp:posOffset>
            </wp:positionH>
            <wp:positionV relativeFrom="paragraph">
              <wp:posOffset>11430</wp:posOffset>
            </wp:positionV>
            <wp:extent cx="4855210" cy="560506"/>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tEast_logo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5210" cy="560506"/>
                    </a:xfrm>
                    <a:prstGeom prst="rect">
                      <a:avLst/>
                    </a:prstGeom>
                  </pic:spPr>
                </pic:pic>
              </a:graphicData>
            </a:graphic>
            <wp14:sizeRelH relativeFrom="page">
              <wp14:pctWidth>0</wp14:pctWidth>
            </wp14:sizeRelH>
            <wp14:sizeRelV relativeFrom="page">
              <wp14:pctHeight>0</wp14:pctHeight>
            </wp14:sizeRelV>
          </wp:anchor>
        </w:drawing>
      </w:r>
    </w:p>
    <w:p w14:paraId="2B3B9C4F" w14:textId="77777777" w:rsidR="009C5D7A" w:rsidRDefault="009C5D7A" w:rsidP="009C5D7A">
      <w:pPr>
        <w:jc w:val="center"/>
        <w:rPr>
          <w:rFonts w:cs="Arial"/>
          <w:sz w:val="24"/>
          <w:szCs w:val="24"/>
        </w:rPr>
      </w:pPr>
    </w:p>
    <w:p w14:paraId="28E85619" w14:textId="77777777" w:rsidR="009C5D7A" w:rsidRDefault="009C5D7A" w:rsidP="009C5D7A">
      <w:pPr>
        <w:jc w:val="center"/>
        <w:rPr>
          <w:rFonts w:cs="Arial"/>
          <w:sz w:val="24"/>
          <w:szCs w:val="24"/>
        </w:rPr>
      </w:pPr>
    </w:p>
    <w:p w14:paraId="743BB6EC" w14:textId="77777777" w:rsidR="009C5D7A" w:rsidRPr="0094522C" w:rsidRDefault="009C5D7A" w:rsidP="009C5D7A">
      <w:pPr>
        <w:jc w:val="center"/>
        <w:rPr>
          <w:rFonts w:cs="Arial"/>
          <w:sz w:val="24"/>
          <w:szCs w:val="24"/>
        </w:rPr>
      </w:pPr>
    </w:p>
    <w:p w14:paraId="31E584A1" w14:textId="77777777" w:rsidR="009C5D7A" w:rsidRPr="0094522C" w:rsidRDefault="009C5D7A" w:rsidP="009C5D7A">
      <w:pPr>
        <w:jc w:val="center"/>
        <w:rPr>
          <w:rFonts w:cs="Arial"/>
          <w:b/>
          <w:sz w:val="24"/>
          <w:szCs w:val="24"/>
        </w:rPr>
      </w:pPr>
      <w:r w:rsidRPr="0094522C">
        <w:rPr>
          <w:rFonts w:cs="Arial"/>
          <w:b/>
          <w:sz w:val="24"/>
          <w:szCs w:val="24"/>
        </w:rPr>
        <w:t>Annexe I: Eligible and Ineligible Costs</w:t>
      </w:r>
    </w:p>
    <w:p w14:paraId="4D1DE8EF" w14:textId="77777777" w:rsidR="009C5D7A" w:rsidRPr="0094522C" w:rsidRDefault="009C5D7A" w:rsidP="009C5D7A">
      <w:pPr>
        <w:rPr>
          <w:rFonts w:cs="Arial"/>
          <w:sz w:val="24"/>
          <w:szCs w:val="24"/>
        </w:rPr>
      </w:pPr>
    </w:p>
    <w:p w14:paraId="0F7DE781" w14:textId="77777777" w:rsidR="009C5D7A" w:rsidRPr="0094522C" w:rsidRDefault="009C5D7A" w:rsidP="0094522C">
      <w:pPr>
        <w:pStyle w:val="ListParagraph"/>
        <w:numPr>
          <w:ilvl w:val="0"/>
          <w:numId w:val="16"/>
        </w:numPr>
        <w:rPr>
          <w:rFonts w:ascii="Arial" w:hAnsi="Arial" w:cs="Arial"/>
          <w:b/>
        </w:rPr>
      </w:pPr>
      <w:r w:rsidRPr="0094522C">
        <w:rPr>
          <w:rFonts w:ascii="Arial" w:hAnsi="Arial" w:cs="Arial"/>
          <w:b/>
        </w:rPr>
        <w:t>Eligible Costs</w:t>
      </w:r>
    </w:p>
    <w:p w14:paraId="6C26E8B2" w14:textId="77777777" w:rsidR="0094522C" w:rsidRPr="0094522C" w:rsidRDefault="0094522C" w:rsidP="0094522C">
      <w:pPr>
        <w:rPr>
          <w:rFonts w:cs="Arial"/>
          <w:sz w:val="24"/>
          <w:szCs w:val="24"/>
        </w:rPr>
      </w:pPr>
    </w:p>
    <w:p w14:paraId="2BB9F4A5" w14:textId="77777777" w:rsidR="0094522C" w:rsidRPr="0094522C" w:rsidRDefault="0094522C" w:rsidP="0094522C">
      <w:pPr>
        <w:pStyle w:val="ListParagraph"/>
        <w:numPr>
          <w:ilvl w:val="1"/>
          <w:numId w:val="18"/>
        </w:numPr>
        <w:rPr>
          <w:rFonts w:ascii="Arial" w:hAnsi="Arial" w:cs="Arial"/>
        </w:rPr>
      </w:pPr>
      <w:r w:rsidRPr="0094522C">
        <w:rPr>
          <w:rFonts w:ascii="Arial" w:hAnsi="Arial" w:cs="Arial"/>
        </w:rPr>
        <w:t xml:space="preserve"> Direct Costs</w:t>
      </w:r>
    </w:p>
    <w:p w14:paraId="17EB1AB6" w14:textId="77777777" w:rsidR="0094522C" w:rsidRPr="0094522C" w:rsidRDefault="0094522C" w:rsidP="0094522C">
      <w:pPr>
        <w:rPr>
          <w:rFonts w:cs="Arial"/>
          <w:sz w:val="24"/>
          <w:szCs w:val="24"/>
        </w:rPr>
      </w:pPr>
    </w:p>
    <w:p w14:paraId="316C7782" w14:textId="77777777" w:rsidR="0094522C" w:rsidRPr="0094522C" w:rsidRDefault="0094522C" w:rsidP="0094522C">
      <w:pPr>
        <w:rPr>
          <w:rFonts w:cs="Arial"/>
          <w:sz w:val="24"/>
          <w:szCs w:val="24"/>
        </w:rPr>
      </w:pPr>
      <w:r w:rsidRPr="0094522C">
        <w:rPr>
          <w:rFonts w:cs="Arial"/>
          <w:sz w:val="24"/>
          <w:szCs w:val="24"/>
        </w:rPr>
        <w:t xml:space="preserve">All costs </w:t>
      </w:r>
      <w:r w:rsidRPr="0094522C">
        <w:rPr>
          <w:rFonts w:cs="Arial"/>
          <w:b/>
          <w:i/>
          <w:sz w:val="24"/>
          <w:szCs w:val="24"/>
        </w:rPr>
        <w:t>other than direct staff costs</w:t>
      </w:r>
      <w:r w:rsidRPr="0094522C">
        <w:rPr>
          <w:rFonts w:cs="Arial"/>
          <w:sz w:val="24"/>
          <w:szCs w:val="24"/>
        </w:rPr>
        <w:t xml:space="preserve"> which are essential for the delivery of the project. This includes (but is not an exhaustive list):</w:t>
      </w:r>
    </w:p>
    <w:p w14:paraId="29318354" w14:textId="77777777" w:rsidR="0094522C" w:rsidRPr="0094522C" w:rsidRDefault="0094522C" w:rsidP="0094522C">
      <w:pPr>
        <w:rPr>
          <w:rFonts w:cs="Arial"/>
          <w:sz w:val="24"/>
          <w:szCs w:val="24"/>
        </w:rPr>
      </w:pPr>
    </w:p>
    <w:p w14:paraId="6B8803D5" w14:textId="77777777" w:rsidR="0094522C" w:rsidRPr="0094522C" w:rsidRDefault="0094522C" w:rsidP="0094522C">
      <w:pPr>
        <w:pStyle w:val="ListParagraph"/>
        <w:numPr>
          <w:ilvl w:val="0"/>
          <w:numId w:val="17"/>
        </w:numPr>
        <w:rPr>
          <w:rFonts w:ascii="Arial" w:hAnsi="Arial" w:cs="Arial"/>
        </w:rPr>
      </w:pPr>
      <w:r w:rsidRPr="0094522C">
        <w:rPr>
          <w:rFonts w:ascii="Arial" w:hAnsi="Arial" w:cs="Arial"/>
        </w:rPr>
        <w:t xml:space="preserve">Premises costs and associated running costs which are </w:t>
      </w:r>
      <w:r w:rsidRPr="0094522C">
        <w:rPr>
          <w:rFonts w:ascii="Arial" w:hAnsi="Arial" w:cs="Arial"/>
          <w:b/>
        </w:rPr>
        <w:t>exclusively</w:t>
      </w:r>
      <w:r w:rsidRPr="0094522C">
        <w:rPr>
          <w:rFonts w:ascii="Arial" w:hAnsi="Arial" w:cs="Arial"/>
        </w:rPr>
        <w:t xml:space="preserve"> used for the </w:t>
      </w:r>
      <w:r w:rsidRPr="0094522C">
        <w:rPr>
          <w:rFonts w:ascii="Arial" w:hAnsi="Arial" w:cs="Arial"/>
          <w:b/>
        </w:rPr>
        <w:t>project</w:t>
      </w:r>
      <w:r w:rsidRPr="0094522C">
        <w:rPr>
          <w:rFonts w:ascii="Arial" w:hAnsi="Arial" w:cs="Arial"/>
        </w:rPr>
        <w:t xml:space="preserve"> – that is to say costs which are </w:t>
      </w:r>
      <w:r w:rsidRPr="0094522C">
        <w:rPr>
          <w:rFonts w:ascii="Arial" w:hAnsi="Arial" w:cs="Arial"/>
          <w:b/>
        </w:rPr>
        <w:t>not</w:t>
      </w:r>
      <w:r w:rsidRPr="0094522C">
        <w:rPr>
          <w:rFonts w:ascii="Arial" w:hAnsi="Arial" w:cs="Arial"/>
        </w:rPr>
        <w:t xml:space="preserve"> shared or apportioned.</w:t>
      </w:r>
    </w:p>
    <w:p w14:paraId="5C07E5CF" w14:textId="77777777" w:rsidR="0094522C" w:rsidRPr="0094522C" w:rsidRDefault="0094522C" w:rsidP="0094522C">
      <w:pPr>
        <w:pStyle w:val="ListParagraph"/>
        <w:numPr>
          <w:ilvl w:val="0"/>
          <w:numId w:val="17"/>
        </w:numPr>
        <w:rPr>
          <w:rFonts w:ascii="Arial" w:hAnsi="Arial" w:cs="Arial"/>
        </w:rPr>
      </w:pPr>
      <w:r w:rsidRPr="0094522C">
        <w:rPr>
          <w:rFonts w:ascii="Arial" w:hAnsi="Arial" w:cs="Arial"/>
        </w:rPr>
        <w:t>Equipment used exclusively for project purposes.</w:t>
      </w:r>
    </w:p>
    <w:p w14:paraId="3608118A" w14:textId="77777777" w:rsidR="0094522C" w:rsidRPr="0094522C" w:rsidRDefault="0094522C" w:rsidP="0094522C">
      <w:pPr>
        <w:pStyle w:val="ListParagraph"/>
        <w:numPr>
          <w:ilvl w:val="0"/>
          <w:numId w:val="17"/>
        </w:numPr>
        <w:rPr>
          <w:rFonts w:ascii="Arial" w:hAnsi="Arial" w:cs="Arial"/>
        </w:rPr>
      </w:pPr>
      <w:r w:rsidRPr="0094522C">
        <w:rPr>
          <w:rFonts w:ascii="Arial" w:hAnsi="Arial" w:cs="Arial"/>
        </w:rPr>
        <w:t>Other costs such as marketing, publicity, and evaluation where these can be directly attributable and invoiced to the project.</w:t>
      </w:r>
    </w:p>
    <w:p w14:paraId="6E959EB7" w14:textId="77777777" w:rsidR="0094522C" w:rsidRPr="0094522C" w:rsidRDefault="0094522C" w:rsidP="0094522C">
      <w:pPr>
        <w:pStyle w:val="ListParagraph"/>
        <w:numPr>
          <w:ilvl w:val="0"/>
          <w:numId w:val="17"/>
        </w:numPr>
        <w:rPr>
          <w:rFonts w:ascii="Arial" w:hAnsi="Arial" w:cs="Arial"/>
        </w:rPr>
      </w:pPr>
      <w:r w:rsidRPr="0094522C">
        <w:rPr>
          <w:rFonts w:ascii="Arial" w:hAnsi="Arial" w:cs="Arial"/>
        </w:rPr>
        <w:t>Procured goods/services (used exclusively by the project) essential for the delivery of project activity.</w:t>
      </w:r>
    </w:p>
    <w:p w14:paraId="7CF6CC89" w14:textId="77777777" w:rsidR="0094522C" w:rsidRPr="0094522C" w:rsidRDefault="0094522C" w:rsidP="0094522C">
      <w:pPr>
        <w:pStyle w:val="ListParagraph"/>
        <w:numPr>
          <w:ilvl w:val="0"/>
          <w:numId w:val="17"/>
        </w:numPr>
        <w:rPr>
          <w:rFonts w:ascii="Arial" w:hAnsi="Arial" w:cs="Arial"/>
        </w:rPr>
      </w:pPr>
      <w:r w:rsidRPr="0094522C">
        <w:rPr>
          <w:rFonts w:ascii="Arial" w:hAnsi="Arial" w:cs="Arial"/>
        </w:rPr>
        <w:t>Cost of business trips, other travel and subsistence.</w:t>
      </w:r>
    </w:p>
    <w:p w14:paraId="23119FEE" w14:textId="77777777" w:rsidR="0094522C" w:rsidRPr="0094522C" w:rsidRDefault="0094522C" w:rsidP="0094522C">
      <w:pPr>
        <w:rPr>
          <w:rFonts w:cs="Arial"/>
          <w:sz w:val="24"/>
          <w:szCs w:val="24"/>
        </w:rPr>
      </w:pPr>
    </w:p>
    <w:p w14:paraId="7631202F" w14:textId="77777777" w:rsidR="0094522C" w:rsidRPr="0094522C" w:rsidRDefault="0094522C" w:rsidP="0094522C">
      <w:pPr>
        <w:pStyle w:val="ListParagraph"/>
        <w:numPr>
          <w:ilvl w:val="1"/>
          <w:numId w:val="18"/>
        </w:numPr>
        <w:rPr>
          <w:rFonts w:ascii="Arial" w:hAnsi="Arial" w:cs="Arial"/>
        </w:rPr>
      </w:pPr>
      <w:r w:rsidRPr="0094522C">
        <w:rPr>
          <w:rFonts w:ascii="Arial" w:hAnsi="Arial" w:cs="Arial"/>
        </w:rPr>
        <w:t>Direct Staff Costs</w:t>
      </w:r>
    </w:p>
    <w:p w14:paraId="55ACAA27" w14:textId="77777777" w:rsidR="0094522C" w:rsidRPr="0094522C" w:rsidRDefault="0094522C" w:rsidP="0094522C">
      <w:pPr>
        <w:rPr>
          <w:rFonts w:cs="Arial"/>
          <w:sz w:val="24"/>
          <w:szCs w:val="24"/>
        </w:rPr>
      </w:pPr>
    </w:p>
    <w:p w14:paraId="5C087667" w14:textId="77777777" w:rsidR="0094522C" w:rsidRDefault="0094522C" w:rsidP="0094522C">
      <w:pPr>
        <w:rPr>
          <w:rFonts w:cs="Arial"/>
          <w:sz w:val="24"/>
          <w:szCs w:val="24"/>
        </w:rPr>
      </w:pPr>
      <w:r w:rsidRPr="0094522C">
        <w:rPr>
          <w:rFonts w:cs="Arial"/>
          <w:sz w:val="24"/>
          <w:szCs w:val="24"/>
        </w:rPr>
        <w:t>This includes salaries and on costs of staff engaged in activity directly related to the implementation and management of the project.</w:t>
      </w:r>
      <w:r>
        <w:rPr>
          <w:rFonts w:cs="Arial"/>
          <w:sz w:val="24"/>
          <w:szCs w:val="24"/>
        </w:rPr>
        <w:t xml:space="preserve"> Staff could work 100% of their time on project activity, or part of their time with all hours, including the time spent working on the project, recorded on suitable timesheets.</w:t>
      </w:r>
    </w:p>
    <w:p w14:paraId="4BB33E42" w14:textId="77777777" w:rsidR="0094522C" w:rsidRDefault="0094522C" w:rsidP="0094522C">
      <w:pPr>
        <w:rPr>
          <w:rFonts w:cs="Arial"/>
          <w:sz w:val="24"/>
          <w:szCs w:val="24"/>
        </w:rPr>
      </w:pPr>
    </w:p>
    <w:p w14:paraId="366858F2" w14:textId="77777777" w:rsidR="0094522C" w:rsidRDefault="0094522C" w:rsidP="0094522C">
      <w:pPr>
        <w:rPr>
          <w:rFonts w:cs="Arial"/>
          <w:sz w:val="24"/>
          <w:szCs w:val="24"/>
        </w:rPr>
      </w:pPr>
      <w:r>
        <w:rPr>
          <w:rFonts w:cs="Arial"/>
          <w:sz w:val="24"/>
          <w:szCs w:val="24"/>
        </w:rPr>
        <w:t xml:space="preserve">It is the tasks undertaken, considered in the context of the project being delivered and the structure of the applicant organisation that determine whether the activity is direct or not – costs will not automatically or always be included as direct simply because a time sheet is completed or on the basis of a percentage of time spent or on specific tasks/activities undertaken. </w:t>
      </w:r>
    </w:p>
    <w:p w14:paraId="5C291620" w14:textId="77777777" w:rsidR="0094522C" w:rsidRDefault="0094522C" w:rsidP="0094522C">
      <w:pPr>
        <w:rPr>
          <w:rFonts w:cs="Arial"/>
          <w:sz w:val="24"/>
          <w:szCs w:val="24"/>
        </w:rPr>
      </w:pPr>
    </w:p>
    <w:p w14:paraId="2F42BE24" w14:textId="77777777" w:rsidR="0094522C" w:rsidRPr="0094522C" w:rsidRDefault="0094522C" w:rsidP="0094522C">
      <w:pPr>
        <w:rPr>
          <w:rFonts w:cs="Arial"/>
          <w:sz w:val="24"/>
          <w:szCs w:val="24"/>
        </w:rPr>
      </w:pPr>
      <w:r>
        <w:rPr>
          <w:rFonts w:cs="Arial"/>
          <w:sz w:val="24"/>
          <w:szCs w:val="24"/>
        </w:rPr>
        <w:t xml:space="preserve">Costs can relate to internal (employed) or external staff. External staff includes staff employed through agencies and staff employed by named delivery partners within the project. Consultants/those secured as contractors through a procurement exercise would be a direct cost (as a fee) not a direct staff cost. </w:t>
      </w:r>
    </w:p>
    <w:p w14:paraId="2E852FDD" w14:textId="77777777" w:rsidR="0094522C" w:rsidRDefault="0094522C" w:rsidP="0094522C">
      <w:pPr>
        <w:rPr>
          <w:rFonts w:cs="Arial"/>
          <w:sz w:val="24"/>
          <w:szCs w:val="24"/>
        </w:rPr>
      </w:pPr>
    </w:p>
    <w:p w14:paraId="468A0162" w14:textId="77777777" w:rsidR="00E244A9" w:rsidRDefault="00E244A9" w:rsidP="0094522C">
      <w:pPr>
        <w:rPr>
          <w:rFonts w:cs="Arial"/>
          <w:sz w:val="24"/>
          <w:szCs w:val="24"/>
        </w:rPr>
      </w:pPr>
    </w:p>
    <w:p w14:paraId="3763ED1C" w14:textId="77777777" w:rsidR="00E244A9" w:rsidRPr="0094522C" w:rsidRDefault="00E244A9" w:rsidP="0094522C">
      <w:pPr>
        <w:rPr>
          <w:rFonts w:cs="Arial"/>
          <w:sz w:val="24"/>
          <w:szCs w:val="24"/>
        </w:rPr>
      </w:pPr>
    </w:p>
    <w:p w14:paraId="0F8C2337" w14:textId="77777777" w:rsidR="0094522C" w:rsidRPr="0094522C" w:rsidRDefault="0094522C" w:rsidP="0094522C">
      <w:pPr>
        <w:rPr>
          <w:rFonts w:cs="Arial"/>
          <w:sz w:val="24"/>
          <w:szCs w:val="24"/>
        </w:rPr>
      </w:pPr>
    </w:p>
    <w:p w14:paraId="0E2FB8DE" w14:textId="77777777" w:rsidR="0094522C" w:rsidRPr="002422E0" w:rsidRDefault="0094522C" w:rsidP="0094522C">
      <w:pPr>
        <w:pStyle w:val="ListParagraph"/>
        <w:numPr>
          <w:ilvl w:val="0"/>
          <w:numId w:val="16"/>
        </w:numPr>
        <w:rPr>
          <w:rFonts w:ascii="Arial" w:hAnsi="Arial" w:cs="Arial"/>
          <w:b/>
        </w:rPr>
      </w:pPr>
      <w:r w:rsidRPr="002422E0">
        <w:rPr>
          <w:rFonts w:ascii="Arial" w:hAnsi="Arial" w:cs="Arial"/>
          <w:b/>
        </w:rPr>
        <w:lastRenderedPageBreak/>
        <w:t>Ineligible Costs</w:t>
      </w:r>
    </w:p>
    <w:p w14:paraId="57D3E5DA" w14:textId="77777777" w:rsidR="009C5D7A" w:rsidRPr="0094522C" w:rsidRDefault="009C5D7A" w:rsidP="009C5D7A">
      <w:pPr>
        <w:rPr>
          <w:rFonts w:cs="Arial"/>
          <w:sz w:val="24"/>
          <w:szCs w:val="24"/>
        </w:rPr>
      </w:pPr>
    </w:p>
    <w:p w14:paraId="7725C7CA" w14:textId="77777777" w:rsidR="0094522C" w:rsidRPr="0094522C" w:rsidRDefault="0094522C" w:rsidP="0094522C">
      <w:pPr>
        <w:rPr>
          <w:rFonts w:cs="Arial"/>
          <w:sz w:val="24"/>
          <w:szCs w:val="24"/>
        </w:rPr>
      </w:pPr>
      <w:r w:rsidRPr="00E244A9">
        <w:rPr>
          <w:rFonts w:cs="Arial"/>
          <w:b/>
          <w:sz w:val="24"/>
          <w:szCs w:val="24"/>
        </w:rPr>
        <w:t>2.1.</w:t>
      </w:r>
      <w:r w:rsidR="0022288B">
        <w:rPr>
          <w:rFonts w:cs="Arial"/>
          <w:sz w:val="24"/>
          <w:szCs w:val="24"/>
        </w:rPr>
        <w:t xml:space="preserve"> </w:t>
      </w:r>
      <w:r w:rsidRPr="0094522C">
        <w:rPr>
          <w:rFonts w:cs="Arial"/>
          <w:sz w:val="24"/>
          <w:szCs w:val="24"/>
        </w:rPr>
        <w:t>Shared/apportioned costs – including shared/apportioned premises and running costs.</w:t>
      </w:r>
    </w:p>
    <w:p w14:paraId="7F6E8A4A" w14:textId="77777777" w:rsidR="009C5D7A" w:rsidRPr="0094522C" w:rsidRDefault="009C5D7A" w:rsidP="009C5D7A">
      <w:pPr>
        <w:rPr>
          <w:rFonts w:cs="Arial"/>
          <w:sz w:val="24"/>
          <w:szCs w:val="24"/>
        </w:rPr>
      </w:pPr>
    </w:p>
    <w:p w14:paraId="4EBC271A" w14:textId="77777777" w:rsidR="002422E0" w:rsidRDefault="0094522C" w:rsidP="009C5D7A">
      <w:pPr>
        <w:rPr>
          <w:rFonts w:cs="Arial"/>
          <w:sz w:val="24"/>
          <w:szCs w:val="24"/>
        </w:rPr>
      </w:pPr>
      <w:r w:rsidRPr="00E244A9">
        <w:rPr>
          <w:rFonts w:cs="Arial"/>
          <w:b/>
          <w:sz w:val="24"/>
          <w:szCs w:val="24"/>
        </w:rPr>
        <w:t>2.2.</w:t>
      </w:r>
      <w:r w:rsidR="0022288B">
        <w:rPr>
          <w:rFonts w:cs="Arial"/>
          <w:sz w:val="24"/>
          <w:szCs w:val="24"/>
        </w:rPr>
        <w:t xml:space="preserve"> Costs associated with any</w:t>
      </w:r>
      <w:r w:rsidR="002422E0">
        <w:rPr>
          <w:rFonts w:cs="Arial"/>
          <w:sz w:val="24"/>
          <w:szCs w:val="24"/>
        </w:rPr>
        <w:t xml:space="preserve"> staff </w:t>
      </w:r>
      <w:r w:rsidR="0022288B">
        <w:rPr>
          <w:rFonts w:cs="Arial"/>
          <w:sz w:val="24"/>
          <w:szCs w:val="24"/>
        </w:rPr>
        <w:t xml:space="preserve">member </w:t>
      </w:r>
      <w:r w:rsidR="002422E0">
        <w:rPr>
          <w:rFonts w:cs="Arial"/>
          <w:sz w:val="24"/>
          <w:szCs w:val="24"/>
        </w:rPr>
        <w:t>who do</w:t>
      </w:r>
      <w:r w:rsidR="0022288B">
        <w:rPr>
          <w:rFonts w:cs="Arial"/>
          <w:sz w:val="24"/>
          <w:szCs w:val="24"/>
        </w:rPr>
        <w:t>es</w:t>
      </w:r>
      <w:r w:rsidR="002422E0">
        <w:rPr>
          <w:rFonts w:cs="Arial"/>
          <w:sz w:val="24"/>
          <w:szCs w:val="24"/>
        </w:rPr>
        <w:t xml:space="preserve"> not perform a role engaged in activity directly related to the implementation and management of the project. </w:t>
      </w:r>
    </w:p>
    <w:p w14:paraId="2334F1C7" w14:textId="77777777" w:rsidR="002422E0" w:rsidRDefault="002422E0" w:rsidP="009C5D7A">
      <w:pPr>
        <w:rPr>
          <w:rFonts w:cs="Arial"/>
          <w:sz w:val="24"/>
          <w:szCs w:val="24"/>
        </w:rPr>
      </w:pPr>
    </w:p>
    <w:p w14:paraId="412C3742" w14:textId="77777777" w:rsidR="002422E0" w:rsidRDefault="002422E0" w:rsidP="009C5D7A">
      <w:pPr>
        <w:rPr>
          <w:rFonts w:cs="Arial"/>
          <w:sz w:val="24"/>
          <w:szCs w:val="24"/>
        </w:rPr>
      </w:pPr>
      <w:r w:rsidRPr="00E244A9">
        <w:rPr>
          <w:rFonts w:cs="Arial"/>
          <w:b/>
          <w:sz w:val="24"/>
          <w:szCs w:val="24"/>
        </w:rPr>
        <w:t>2.3.</w:t>
      </w:r>
      <w:r>
        <w:rPr>
          <w:rFonts w:cs="Arial"/>
          <w:sz w:val="24"/>
          <w:szCs w:val="24"/>
        </w:rPr>
        <w:t xml:space="preserve"> Indirect Costs</w:t>
      </w:r>
    </w:p>
    <w:p w14:paraId="5850C241" w14:textId="77777777" w:rsidR="002422E0" w:rsidRDefault="002422E0" w:rsidP="009C5D7A">
      <w:pPr>
        <w:rPr>
          <w:rFonts w:cs="Arial"/>
          <w:sz w:val="24"/>
          <w:szCs w:val="24"/>
        </w:rPr>
      </w:pPr>
    </w:p>
    <w:p w14:paraId="2D392B4E" w14:textId="77777777" w:rsidR="002422E0" w:rsidRDefault="002422E0" w:rsidP="009C5D7A">
      <w:pPr>
        <w:rPr>
          <w:rFonts w:cs="Arial"/>
          <w:sz w:val="24"/>
          <w:szCs w:val="24"/>
        </w:rPr>
      </w:pPr>
      <w:r>
        <w:rPr>
          <w:rFonts w:cs="Arial"/>
          <w:sz w:val="24"/>
          <w:szCs w:val="24"/>
        </w:rPr>
        <w:t xml:space="preserve">Indirect costs, often referred to as ‘overheads’ are those costs which are linked to activity that supports the delivery of a project but cannot be easily attributed to the project in terms of the actual specific costs and cannot be supported by project specific invoices or other transaction. </w:t>
      </w:r>
    </w:p>
    <w:p w14:paraId="053F1433" w14:textId="77777777" w:rsidR="002422E0" w:rsidRDefault="002422E0" w:rsidP="009C5D7A">
      <w:pPr>
        <w:rPr>
          <w:rFonts w:cs="Arial"/>
          <w:sz w:val="24"/>
          <w:szCs w:val="24"/>
        </w:rPr>
      </w:pPr>
    </w:p>
    <w:p w14:paraId="5FF6993B" w14:textId="77777777" w:rsidR="002422E0" w:rsidRPr="002422E0" w:rsidRDefault="002422E0" w:rsidP="009C5D7A">
      <w:pPr>
        <w:rPr>
          <w:rFonts w:cs="Arial"/>
          <w:sz w:val="24"/>
          <w:szCs w:val="24"/>
        </w:rPr>
      </w:pPr>
      <w:r w:rsidRPr="002422E0">
        <w:rPr>
          <w:rFonts w:cs="Arial"/>
          <w:sz w:val="24"/>
          <w:szCs w:val="24"/>
        </w:rPr>
        <w:t>Such costs include:</w:t>
      </w:r>
    </w:p>
    <w:p w14:paraId="126148D3" w14:textId="77777777" w:rsidR="002422E0" w:rsidRPr="002422E0" w:rsidRDefault="002422E0" w:rsidP="009C5D7A">
      <w:pPr>
        <w:rPr>
          <w:rFonts w:cs="Arial"/>
          <w:sz w:val="24"/>
          <w:szCs w:val="24"/>
        </w:rPr>
      </w:pPr>
    </w:p>
    <w:p w14:paraId="393378B5" w14:textId="77777777" w:rsidR="002422E0" w:rsidRPr="002422E0" w:rsidRDefault="002422E0" w:rsidP="002422E0">
      <w:pPr>
        <w:pStyle w:val="ListParagraph"/>
        <w:numPr>
          <w:ilvl w:val="0"/>
          <w:numId w:val="19"/>
        </w:numPr>
        <w:rPr>
          <w:rFonts w:ascii="Arial" w:hAnsi="Arial" w:cs="Arial"/>
        </w:rPr>
      </w:pPr>
      <w:r w:rsidRPr="002422E0">
        <w:rPr>
          <w:rFonts w:ascii="Arial" w:hAnsi="Arial" w:cs="Arial"/>
        </w:rPr>
        <w:t>Support/back office staff, not engaged in activity directly related to the implementation and management of the project.</w:t>
      </w:r>
    </w:p>
    <w:p w14:paraId="06AA781F" w14:textId="77777777" w:rsidR="002422E0" w:rsidRPr="002422E0" w:rsidRDefault="002422E0" w:rsidP="002422E0">
      <w:pPr>
        <w:pStyle w:val="ListParagraph"/>
        <w:numPr>
          <w:ilvl w:val="0"/>
          <w:numId w:val="19"/>
        </w:numPr>
        <w:rPr>
          <w:rFonts w:ascii="Arial" w:hAnsi="Arial" w:cs="Arial"/>
        </w:rPr>
      </w:pPr>
      <w:r w:rsidRPr="002422E0">
        <w:rPr>
          <w:rFonts w:ascii="Arial" w:hAnsi="Arial" w:cs="Arial"/>
        </w:rPr>
        <w:t xml:space="preserve">Other costs which are not solely associated with the delivery of the project e.g. shared premises costs such as rent, utilities, insurance, cleaning, or IT maintenance. </w:t>
      </w:r>
    </w:p>
    <w:p w14:paraId="54CEF1DC" w14:textId="77777777" w:rsidR="009C5D7A" w:rsidRPr="00E244A9" w:rsidRDefault="009C5D7A" w:rsidP="009C5D7A">
      <w:pPr>
        <w:rPr>
          <w:rFonts w:cs="Arial"/>
          <w:sz w:val="24"/>
          <w:szCs w:val="24"/>
        </w:rPr>
      </w:pPr>
    </w:p>
    <w:p w14:paraId="22217265" w14:textId="77777777" w:rsidR="002422E0" w:rsidRPr="00E244A9" w:rsidRDefault="002422E0" w:rsidP="009C5D7A">
      <w:pPr>
        <w:rPr>
          <w:rFonts w:cs="Arial"/>
          <w:sz w:val="24"/>
          <w:szCs w:val="24"/>
        </w:rPr>
      </w:pPr>
      <w:r w:rsidRPr="00E244A9">
        <w:rPr>
          <w:rFonts w:cs="Arial"/>
          <w:b/>
          <w:sz w:val="24"/>
          <w:szCs w:val="24"/>
        </w:rPr>
        <w:t>2.4.</w:t>
      </w:r>
      <w:r w:rsidRPr="00E244A9">
        <w:rPr>
          <w:rFonts w:cs="Arial"/>
          <w:sz w:val="24"/>
          <w:szCs w:val="24"/>
        </w:rPr>
        <w:t xml:space="preserve"> Other Ineligible Costs</w:t>
      </w:r>
    </w:p>
    <w:p w14:paraId="782E4EA0" w14:textId="77777777" w:rsidR="002422E0" w:rsidRPr="00E244A9" w:rsidRDefault="002422E0" w:rsidP="009C5D7A">
      <w:pPr>
        <w:rPr>
          <w:rFonts w:cs="Arial"/>
          <w:sz w:val="24"/>
          <w:szCs w:val="24"/>
        </w:rPr>
      </w:pPr>
    </w:p>
    <w:p w14:paraId="238B4A56" w14:textId="77777777" w:rsidR="002422E0" w:rsidRPr="00E244A9" w:rsidRDefault="002422E0" w:rsidP="009C5D7A">
      <w:pPr>
        <w:rPr>
          <w:rFonts w:cs="Arial"/>
          <w:sz w:val="24"/>
          <w:szCs w:val="24"/>
        </w:rPr>
      </w:pPr>
      <w:r w:rsidRPr="00E244A9">
        <w:rPr>
          <w:rFonts w:cs="Arial"/>
          <w:sz w:val="24"/>
          <w:szCs w:val="24"/>
        </w:rPr>
        <w:t>The following individual revenue costs are not eligible for StartEast Grant Scheme support:</w:t>
      </w:r>
    </w:p>
    <w:p w14:paraId="31AF829C" w14:textId="77777777" w:rsidR="002422E0" w:rsidRPr="00E244A9" w:rsidRDefault="002422E0" w:rsidP="009C5D7A">
      <w:pPr>
        <w:rPr>
          <w:rFonts w:cs="Arial"/>
          <w:sz w:val="24"/>
          <w:szCs w:val="24"/>
        </w:rPr>
      </w:pPr>
    </w:p>
    <w:p w14:paraId="35326B72"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Notional costs, for example, where an item usually retails at £x, but the applicant buys it cheaper but claims the difference between the price paid and £x</w:t>
      </w:r>
    </w:p>
    <w:p w14:paraId="6A50C6E8"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Payments for activity of a political nature</w:t>
      </w:r>
    </w:p>
    <w:p w14:paraId="37EBB1F6"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Provisions – i.e. money set aside to pay for future events, e.g. sink funds</w:t>
      </w:r>
    </w:p>
    <w:p w14:paraId="6816F19F"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Contingencies and Contingent liabilities</w:t>
      </w:r>
    </w:p>
    <w:p w14:paraId="534056FF"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Dividends</w:t>
      </w:r>
    </w:p>
    <w:p w14:paraId="6656669A"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Interest or service charges arising on debt incurred including finance leases, hire purchase, and credit arrangements</w:t>
      </w:r>
    </w:p>
    <w:p w14:paraId="1BAB065A"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Costs resulting from the deferral of payments to creditors</w:t>
      </w:r>
    </w:p>
    <w:p w14:paraId="0B1F6D76"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Costs involved in winding up a company</w:t>
      </w:r>
    </w:p>
    <w:p w14:paraId="4FB6F546"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Payments for unfair dismissal</w:t>
      </w:r>
    </w:p>
    <w:p w14:paraId="38EC5B1E"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Compensation for loss of office</w:t>
      </w:r>
    </w:p>
    <w:p w14:paraId="5E705BD3"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 xml:space="preserve">Bad debts arising from loans to employees, </w:t>
      </w:r>
      <w:r w:rsidR="00E244A9" w:rsidRPr="00E244A9">
        <w:rPr>
          <w:rFonts w:ascii="Arial" w:hAnsi="Arial" w:cs="Arial"/>
        </w:rPr>
        <w:t>proprietors</w:t>
      </w:r>
      <w:r w:rsidRPr="00E244A9">
        <w:rPr>
          <w:rFonts w:ascii="Arial" w:hAnsi="Arial" w:cs="Arial"/>
        </w:rPr>
        <w:t>, partners, directors, guarantors, or shareholders</w:t>
      </w:r>
    </w:p>
    <w:p w14:paraId="177F83E6"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Payments for gifts and donations</w:t>
      </w:r>
    </w:p>
    <w:p w14:paraId="11F3C4A8"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Entertainments apart from food and non-alcoholic drink provided as part of a meeting</w:t>
      </w:r>
    </w:p>
    <w:p w14:paraId="4FCC1A0D"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Statutory fines and damages</w:t>
      </w:r>
    </w:p>
    <w:p w14:paraId="64104754"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Criminal fines and damages</w:t>
      </w:r>
    </w:p>
    <w:p w14:paraId="5F8D3CDA"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t>Legal expenses in respect of litigation</w:t>
      </w:r>
    </w:p>
    <w:p w14:paraId="48646125" w14:textId="77777777" w:rsidR="002422E0" w:rsidRPr="00E244A9" w:rsidRDefault="002422E0" w:rsidP="002422E0">
      <w:pPr>
        <w:pStyle w:val="ListParagraph"/>
        <w:numPr>
          <w:ilvl w:val="0"/>
          <w:numId w:val="20"/>
        </w:numPr>
        <w:rPr>
          <w:rFonts w:ascii="Arial" w:hAnsi="Arial" w:cs="Arial"/>
        </w:rPr>
      </w:pPr>
      <w:r w:rsidRPr="00E244A9">
        <w:rPr>
          <w:rFonts w:ascii="Arial" w:hAnsi="Arial" w:cs="Arial"/>
        </w:rPr>
        <w:lastRenderedPageBreak/>
        <w:t xml:space="preserve">Costs incurred by individuals in setting up and contributing towards private pension schemes, or the setting up of such schemes </w:t>
      </w:r>
    </w:p>
    <w:p w14:paraId="4DEF9C23" w14:textId="77777777" w:rsidR="00E244A9" w:rsidRPr="00E244A9" w:rsidRDefault="00E244A9" w:rsidP="002422E0">
      <w:pPr>
        <w:pStyle w:val="ListParagraph"/>
        <w:numPr>
          <w:ilvl w:val="0"/>
          <w:numId w:val="20"/>
        </w:numPr>
        <w:rPr>
          <w:rFonts w:ascii="Arial" w:hAnsi="Arial" w:cs="Arial"/>
        </w:rPr>
      </w:pPr>
      <w:r w:rsidRPr="00E244A9">
        <w:rPr>
          <w:rFonts w:ascii="Arial" w:hAnsi="Arial" w:cs="Arial"/>
        </w:rPr>
        <w:t>Costs incurred by organisations in relocating personnel displaced by the refurbishm</w:t>
      </w:r>
      <w:r>
        <w:rPr>
          <w:rFonts w:ascii="Arial" w:hAnsi="Arial" w:cs="Arial"/>
        </w:rPr>
        <w:t>ent or conversion of a building.</w:t>
      </w:r>
    </w:p>
    <w:sectPr w:rsidR="00E244A9" w:rsidRPr="00E244A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502DA" w14:textId="77777777" w:rsidR="00F22D69" w:rsidRDefault="00F22D69" w:rsidP="002D12E5">
      <w:r>
        <w:separator/>
      </w:r>
    </w:p>
  </w:endnote>
  <w:endnote w:type="continuationSeparator" w:id="0">
    <w:p w14:paraId="2A6AC866" w14:textId="77777777" w:rsidR="00F22D69" w:rsidRDefault="00F22D69" w:rsidP="002D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9801" w14:textId="77777777" w:rsidR="00906750" w:rsidRDefault="009067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028838"/>
      <w:docPartObj>
        <w:docPartGallery w:val="Page Numbers (Bottom of Page)"/>
        <w:docPartUnique/>
      </w:docPartObj>
    </w:sdtPr>
    <w:sdtEndPr>
      <w:rPr>
        <w:noProof/>
      </w:rPr>
    </w:sdtEndPr>
    <w:sdtContent>
      <w:p w14:paraId="69FA3E21" w14:textId="77777777" w:rsidR="00127641" w:rsidRDefault="00127641">
        <w:pPr>
          <w:pStyle w:val="Footer"/>
          <w:jc w:val="center"/>
        </w:pPr>
        <w:r>
          <w:fldChar w:fldCharType="begin"/>
        </w:r>
        <w:r>
          <w:instrText xml:space="preserve"> PAGE   \* MERGEFORMAT </w:instrText>
        </w:r>
        <w:r>
          <w:fldChar w:fldCharType="separate"/>
        </w:r>
        <w:r w:rsidR="00F35C82">
          <w:rPr>
            <w:noProof/>
          </w:rPr>
          <w:t>6</w:t>
        </w:r>
        <w:r>
          <w:rPr>
            <w:noProof/>
          </w:rPr>
          <w:fldChar w:fldCharType="end"/>
        </w:r>
      </w:p>
    </w:sdtContent>
  </w:sdt>
  <w:p w14:paraId="402E75CC" w14:textId="77777777" w:rsidR="002D12E5" w:rsidRDefault="002D12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6825" w14:textId="77777777" w:rsidR="00906750" w:rsidRDefault="009067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0A29" w14:textId="77777777" w:rsidR="00F22D69" w:rsidRDefault="00F22D69" w:rsidP="002D12E5">
      <w:r>
        <w:separator/>
      </w:r>
    </w:p>
  </w:footnote>
  <w:footnote w:type="continuationSeparator" w:id="0">
    <w:p w14:paraId="664F1CFD" w14:textId="77777777" w:rsidR="00F22D69" w:rsidRDefault="00F22D69" w:rsidP="002D12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6091" w14:textId="77777777" w:rsidR="00906750" w:rsidRDefault="009067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7102" w14:textId="6C155A28" w:rsidR="00906750" w:rsidRDefault="009067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15424" w14:textId="77777777" w:rsidR="00906750" w:rsidRDefault="009067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120D"/>
    <w:multiLevelType w:val="hybridMultilevel"/>
    <w:tmpl w:val="447E0D76"/>
    <w:lvl w:ilvl="0" w:tplc="1624C774">
      <w:start w:val="1"/>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6267"/>
    <w:multiLevelType w:val="multilevel"/>
    <w:tmpl w:val="0ADCDB9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7237CC1"/>
    <w:multiLevelType w:val="hybridMultilevel"/>
    <w:tmpl w:val="8A627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91487B"/>
    <w:multiLevelType w:val="hybridMultilevel"/>
    <w:tmpl w:val="C4AE0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A11E5F"/>
    <w:multiLevelType w:val="hybridMultilevel"/>
    <w:tmpl w:val="BF6405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10AAB"/>
    <w:multiLevelType w:val="hybridMultilevel"/>
    <w:tmpl w:val="09926B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E61E1B"/>
    <w:multiLevelType w:val="hybridMultilevel"/>
    <w:tmpl w:val="0A7A42A2"/>
    <w:lvl w:ilvl="0" w:tplc="4FAA8A82">
      <w:start w:val="1"/>
      <w:numFmt w:val="upp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5108F9"/>
    <w:multiLevelType w:val="hybridMultilevel"/>
    <w:tmpl w:val="BF247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56203D"/>
    <w:multiLevelType w:val="hybridMultilevel"/>
    <w:tmpl w:val="E780B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E86203"/>
    <w:multiLevelType w:val="hybridMultilevel"/>
    <w:tmpl w:val="B2DAF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79644B"/>
    <w:multiLevelType w:val="multilevel"/>
    <w:tmpl w:val="976A5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577E6"/>
    <w:multiLevelType w:val="hybridMultilevel"/>
    <w:tmpl w:val="EF427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0B1D5E"/>
    <w:multiLevelType w:val="hybridMultilevel"/>
    <w:tmpl w:val="2F1478FC"/>
    <w:lvl w:ilvl="0" w:tplc="24F4144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9550919"/>
    <w:multiLevelType w:val="hybridMultilevel"/>
    <w:tmpl w:val="7BCEF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7102E0"/>
    <w:multiLevelType w:val="hybridMultilevel"/>
    <w:tmpl w:val="F810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D62421"/>
    <w:multiLevelType w:val="hybridMultilevel"/>
    <w:tmpl w:val="B6243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85507E3"/>
    <w:multiLevelType w:val="hybridMultilevel"/>
    <w:tmpl w:val="8918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327228C"/>
    <w:multiLevelType w:val="hybridMultilevel"/>
    <w:tmpl w:val="40D80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A6548D"/>
    <w:multiLevelType w:val="hybridMultilevel"/>
    <w:tmpl w:val="F124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BDC23EA"/>
    <w:multiLevelType w:val="hybridMultilevel"/>
    <w:tmpl w:val="1FE0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4"/>
  </w:num>
  <w:num w:numId="5">
    <w:abstractNumId w:val="16"/>
  </w:num>
  <w:num w:numId="6">
    <w:abstractNumId w:val="5"/>
  </w:num>
  <w:num w:numId="7">
    <w:abstractNumId w:val="13"/>
  </w:num>
  <w:num w:numId="8">
    <w:abstractNumId w:val="2"/>
  </w:num>
  <w:num w:numId="9">
    <w:abstractNumId w:val="7"/>
  </w:num>
  <w:num w:numId="10">
    <w:abstractNumId w:val="18"/>
  </w:num>
  <w:num w:numId="11">
    <w:abstractNumId w:val="17"/>
  </w:num>
  <w:num w:numId="12">
    <w:abstractNumId w:val="0"/>
  </w:num>
  <w:num w:numId="13">
    <w:abstractNumId w:val="6"/>
  </w:num>
  <w:num w:numId="14">
    <w:abstractNumId w:val="12"/>
  </w:num>
  <w:num w:numId="15">
    <w:abstractNumId w:val="8"/>
  </w:num>
  <w:num w:numId="16">
    <w:abstractNumId w:val="1"/>
  </w:num>
  <w:num w:numId="17">
    <w:abstractNumId w:val="19"/>
  </w:num>
  <w:num w:numId="18">
    <w:abstractNumId w:val="1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E5"/>
    <w:rsid w:val="00043841"/>
    <w:rsid w:val="00043D0F"/>
    <w:rsid w:val="0010062B"/>
    <w:rsid w:val="00101709"/>
    <w:rsid w:val="00120A82"/>
    <w:rsid w:val="00127641"/>
    <w:rsid w:val="00133393"/>
    <w:rsid w:val="00141944"/>
    <w:rsid w:val="0022288B"/>
    <w:rsid w:val="002422E0"/>
    <w:rsid w:val="002C7088"/>
    <w:rsid w:val="002D12E5"/>
    <w:rsid w:val="00341D1C"/>
    <w:rsid w:val="00446B5D"/>
    <w:rsid w:val="00454F1A"/>
    <w:rsid w:val="00536B9E"/>
    <w:rsid w:val="005A3B81"/>
    <w:rsid w:val="005E4361"/>
    <w:rsid w:val="00636E6B"/>
    <w:rsid w:val="00663042"/>
    <w:rsid w:val="00703D75"/>
    <w:rsid w:val="007F201E"/>
    <w:rsid w:val="00880376"/>
    <w:rsid w:val="00906750"/>
    <w:rsid w:val="0094522C"/>
    <w:rsid w:val="00947D9D"/>
    <w:rsid w:val="009970EF"/>
    <w:rsid w:val="009C5D7A"/>
    <w:rsid w:val="00A72C78"/>
    <w:rsid w:val="00B40E72"/>
    <w:rsid w:val="00B52B15"/>
    <w:rsid w:val="00BE7F3E"/>
    <w:rsid w:val="00BF2A8A"/>
    <w:rsid w:val="00BF68D3"/>
    <w:rsid w:val="00C177E8"/>
    <w:rsid w:val="00C658F0"/>
    <w:rsid w:val="00CC1BC6"/>
    <w:rsid w:val="00D20BF2"/>
    <w:rsid w:val="00D26910"/>
    <w:rsid w:val="00E244A9"/>
    <w:rsid w:val="00E72254"/>
    <w:rsid w:val="00F22D69"/>
    <w:rsid w:val="00F35C82"/>
    <w:rsid w:val="00F763BC"/>
    <w:rsid w:val="00FF17C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52153"/>
  <w15:chartTrackingRefBased/>
  <w15:docId w15:val="{2B19738C-2273-4D92-841D-CF4246DA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2E5"/>
    <w:pPr>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E5"/>
    <w:pPr>
      <w:ind w:left="720"/>
      <w:contextualSpacing/>
    </w:pPr>
    <w:rPr>
      <w:rFonts w:ascii="Times New Roman" w:hAnsi="Times New Roman"/>
      <w:sz w:val="24"/>
      <w:szCs w:val="24"/>
      <w:lang w:eastAsia="en-GB"/>
    </w:rPr>
  </w:style>
  <w:style w:type="paragraph" w:styleId="Header">
    <w:name w:val="header"/>
    <w:basedOn w:val="Normal"/>
    <w:link w:val="HeaderChar"/>
    <w:uiPriority w:val="99"/>
    <w:unhideWhenUsed/>
    <w:rsid w:val="002D12E5"/>
    <w:pPr>
      <w:tabs>
        <w:tab w:val="center" w:pos="4513"/>
        <w:tab w:val="right" w:pos="9026"/>
      </w:tabs>
    </w:pPr>
  </w:style>
  <w:style w:type="character" w:customStyle="1" w:styleId="HeaderChar">
    <w:name w:val="Header Char"/>
    <w:basedOn w:val="DefaultParagraphFont"/>
    <w:link w:val="Header"/>
    <w:uiPriority w:val="99"/>
    <w:rsid w:val="002D12E5"/>
    <w:rPr>
      <w:rFonts w:eastAsia="Times New Roman" w:cs="Times New Roman"/>
      <w:sz w:val="20"/>
      <w:szCs w:val="20"/>
    </w:rPr>
  </w:style>
  <w:style w:type="paragraph" w:styleId="Footer">
    <w:name w:val="footer"/>
    <w:basedOn w:val="Normal"/>
    <w:link w:val="FooterChar"/>
    <w:uiPriority w:val="99"/>
    <w:unhideWhenUsed/>
    <w:rsid w:val="002D12E5"/>
    <w:pPr>
      <w:tabs>
        <w:tab w:val="center" w:pos="4513"/>
        <w:tab w:val="right" w:pos="9026"/>
      </w:tabs>
    </w:pPr>
  </w:style>
  <w:style w:type="character" w:customStyle="1" w:styleId="FooterChar">
    <w:name w:val="Footer Char"/>
    <w:basedOn w:val="DefaultParagraphFont"/>
    <w:link w:val="Footer"/>
    <w:uiPriority w:val="99"/>
    <w:rsid w:val="002D12E5"/>
    <w:rPr>
      <w:rFonts w:eastAsia="Times New Roman" w:cs="Times New Roman"/>
      <w:sz w:val="20"/>
      <w:szCs w:val="20"/>
    </w:rPr>
  </w:style>
  <w:style w:type="character" w:styleId="Hyperlink">
    <w:name w:val="Hyperlink"/>
    <w:basedOn w:val="DefaultParagraphFont"/>
    <w:uiPriority w:val="99"/>
    <w:unhideWhenUsed/>
    <w:rsid w:val="00CC1BC6"/>
    <w:rPr>
      <w:color w:val="0563C1" w:themeColor="hyperlink"/>
      <w:u w:val="single"/>
    </w:rPr>
  </w:style>
  <w:style w:type="paragraph" w:styleId="BalloonText">
    <w:name w:val="Balloon Text"/>
    <w:basedOn w:val="Normal"/>
    <w:link w:val="BalloonTextChar"/>
    <w:uiPriority w:val="99"/>
    <w:semiHidden/>
    <w:unhideWhenUsed/>
    <w:rsid w:val="005A3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8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1D1C"/>
    <w:rPr>
      <w:sz w:val="16"/>
      <w:szCs w:val="16"/>
    </w:rPr>
  </w:style>
  <w:style w:type="paragraph" w:styleId="CommentText">
    <w:name w:val="annotation text"/>
    <w:basedOn w:val="Normal"/>
    <w:link w:val="CommentTextChar"/>
    <w:uiPriority w:val="99"/>
    <w:semiHidden/>
    <w:unhideWhenUsed/>
    <w:rsid w:val="00341D1C"/>
  </w:style>
  <w:style w:type="character" w:customStyle="1" w:styleId="CommentTextChar">
    <w:name w:val="Comment Text Char"/>
    <w:basedOn w:val="DefaultParagraphFont"/>
    <w:link w:val="CommentText"/>
    <w:uiPriority w:val="99"/>
    <w:semiHidden/>
    <w:rsid w:val="00341D1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D1C"/>
    <w:rPr>
      <w:b/>
      <w:bCs/>
    </w:rPr>
  </w:style>
  <w:style w:type="character" w:customStyle="1" w:styleId="CommentSubjectChar">
    <w:name w:val="Comment Subject Char"/>
    <w:basedOn w:val="CommentTextChar"/>
    <w:link w:val="CommentSubject"/>
    <w:uiPriority w:val="99"/>
    <w:semiHidden/>
    <w:rsid w:val="00341D1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mailto:arts@norfolk.gov.uk" TargetMode="External"/><Relationship Id="rId13" Type="http://schemas.openxmlformats.org/officeDocument/2006/relationships/image" Target="media/image6.png"/><Relationship Id="rId14" Type="http://schemas.openxmlformats.org/officeDocument/2006/relationships/oleObject" Target="embeddings/oleObject1.bin"/><Relationship Id="rId15" Type="http://schemas.openxmlformats.org/officeDocument/2006/relationships/hyperlink" Target="mailto:arts@cultural.norfolk.gov.uk" TargetMode="External"/><Relationship Id="rId16" Type="http://schemas.openxmlformats.org/officeDocument/2006/relationships/image" Target="media/image7.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1404</Words>
  <Characters>8007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Lindsay</dc:creator>
  <cp:keywords/>
  <dc:description/>
  <cp:lastModifiedBy>Microsoft Office User</cp:lastModifiedBy>
  <cp:revision>2</cp:revision>
  <cp:lastPrinted>2017-03-01T14:56:00Z</cp:lastPrinted>
  <dcterms:created xsi:type="dcterms:W3CDTF">2017-05-12T11:37:00Z</dcterms:created>
  <dcterms:modified xsi:type="dcterms:W3CDTF">2017-05-12T11:37:00Z</dcterms:modified>
</cp:coreProperties>
</file>